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апреля 2022 г. N 629</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РЕГУЛИРОВАНИЯ ЗЕМЕЛЬНЫХ ОТНОШЕНИЙ В РОССИЙСКОЙ ФЕДЕРАЦИИ</w:t>
      </w:r>
    </w:p>
    <w:p>
      <w:pPr>
        <w:pStyle w:val="2"/>
        <w:jc w:val="center"/>
      </w:pPr>
      <w:r>
        <w:rPr>
          <w:sz w:val="20"/>
        </w:rPr>
        <w:t xml:space="preserve">В 2022 ГОДУ</w:t>
      </w:r>
    </w:p>
    <w:p>
      <w:pPr>
        <w:pStyle w:val="0"/>
        <w:ind w:firstLine="540"/>
        <w:jc w:val="both"/>
      </w:pPr>
      <w:r>
        <w:rPr>
          <w:sz w:val="20"/>
        </w:rPr>
      </w:r>
    </w:p>
    <w:p>
      <w:pPr>
        <w:pStyle w:val="0"/>
        <w:ind w:firstLine="540"/>
        <w:jc w:val="both"/>
      </w:pPr>
      <w:r>
        <w:rPr>
          <w:sz w:val="20"/>
        </w:rPr>
        <w:t xml:space="preserve">В соответствии с </w:t>
      </w:r>
      <w:hyperlink w:history="0" r:id="rId6"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14 марта 2022 г. N 58-ФЗ "О внесении изменений в отдельные законодательные акты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w:t>
      </w:r>
    </w:p>
    <w:p>
      <w:pPr>
        <w:pStyle w:val="0"/>
        <w:spacing w:before="200" w:line-rule="auto"/>
        <w:ind w:firstLine="540"/>
        <w:jc w:val="both"/>
      </w:pPr>
      <w:r>
        <w:rPr>
          <w:sz w:val="20"/>
        </w:rPr>
        <w:t xml:space="preserve">наряду со случаями, предусмотренными Земельным </w:t>
      </w:r>
      <w:hyperlink w:history="0" r:id="rId7"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кодексом</w:t>
        </w:r>
      </w:hyperlink>
      <w:r>
        <w:rPr>
          <w:sz w:val="20"/>
        </w:rPr>
        <w:t xml:space="preserve"> Российской Федерации, и при условии соблюдения требований, предусмотренных </w:t>
      </w:r>
      <w:hyperlink w:history="0" r:id="rId8"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пунктами 1</w:t>
        </w:r>
      </w:hyperlink>
      <w:r>
        <w:rPr>
          <w:sz w:val="20"/>
        </w:rPr>
        <w:t xml:space="preserve"> - </w:t>
      </w:r>
      <w:hyperlink w:history="0" r:id="rId9"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5 статьи 39.22</w:t>
        </w:r>
      </w:hyperlink>
      <w:r>
        <w:rPr>
          <w:sz w:val="20"/>
        </w:rPr>
        <w:t xml:space="preserve"> Земельного кодекса Российской Федерации, допускается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 масштабных инвестиционных проектов, указанных в </w:t>
      </w:r>
      <w:hyperlink w:history="0" r:id="rId10"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подпунктах 2</w:t>
        </w:r>
      </w:hyperlink>
      <w:r>
        <w:rPr>
          <w:sz w:val="20"/>
        </w:rPr>
        <w:t xml:space="preserve"> и </w:t>
      </w:r>
      <w:hyperlink w:history="0" r:id="rId11"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3 пункта 2 статьи 39.6</w:t>
        </w:r>
      </w:hyperlink>
      <w:r>
        <w:rPr>
          <w:sz w:val="20"/>
        </w:rPr>
        <w:t xml:space="preserve"> Земельного кодекса Российской Федерации. При этом с соблюдением требований, предусмотренных </w:t>
      </w:r>
      <w:hyperlink w:history="0" r:id="rId12"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5 статьи 39.22</w:t>
        </w:r>
      </w:hyperlink>
      <w:r>
        <w:rPr>
          <w:sz w:val="20"/>
        </w:rPr>
        <w:t xml:space="preserve">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участков, находящихся в частной собственности;</w:t>
      </w:r>
    </w:p>
    <w:p>
      <w:pPr>
        <w:pStyle w:val="0"/>
        <w:spacing w:before="200" w:line-rule="auto"/>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pPr>
        <w:pStyle w:val="0"/>
        <w:spacing w:before="200" w:line-rule="auto"/>
        <w:ind w:firstLine="540"/>
        <w:jc w:val="both"/>
      </w:pPr>
      <w:r>
        <w:rPr>
          <w:sz w:val="20"/>
        </w:rPr>
        <w:t xml:space="preserve">а) допускается наряду со случаями, предусмотренными Земельным </w:t>
      </w:r>
      <w:hyperlink w:history="0" r:id="rId13"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кодексом</w:t>
        </w:r>
      </w:hyperlink>
      <w:r>
        <w:rPr>
          <w:sz w:val="20"/>
        </w:rPr>
        <w:t xml:space="preserve"> Российской Федерации,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 предусмотренного </w:t>
      </w:r>
      <w:hyperlink w:history="0" r:id="rId14"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статьей 39.2</w:t>
        </w:r>
      </w:hyperlink>
      <w:r>
        <w:rPr>
          <w:sz w:val="20"/>
        </w:rPr>
        <w:t xml:space="preserve">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bookmarkStart w:id="15" w:name="P15"/>
    <w:bookmarkEnd w:id="15"/>
    <w:p>
      <w:pPr>
        <w:pStyle w:val="0"/>
        <w:spacing w:before="200" w:line-rule="auto"/>
        <w:ind w:firstLine="540"/>
        <w:jc w:val="both"/>
      </w:pPr>
      <w:r>
        <w:rPr>
          <w:sz w:val="20"/>
        </w:rPr>
        <w:t xml:space="preserve">б) наряду со случаями, предусмотренными Земельным </w:t>
      </w:r>
      <w:hyperlink w:history="0" r:id="rId15"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кодексом</w:t>
        </w:r>
      </w:hyperlink>
      <w:r>
        <w:rPr>
          <w:sz w:val="20"/>
        </w:rPr>
        <w:t xml:space="preserve">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pPr>
        <w:pStyle w:val="0"/>
        <w:spacing w:before="200" w:line-rule="auto"/>
        <w:ind w:firstLine="540"/>
        <w:jc w:val="both"/>
      </w:pPr>
      <w:r>
        <w:rPr>
          <w:sz w:val="20"/>
        </w:rPr>
        <w:t xml:space="preserve">в) процедуры, предусмотренные </w:t>
      </w:r>
      <w:hyperlink w:history="0" r:id="rId16"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7 статьи 11.4</w:t>
        </w:r>
      </w:hyperlink>
      <w:r>
        <w:rPr>
          <w:sz w:val="20"/>
        </w:rPr>
        <w:t xml:space="preserve">, </w:t>
      </w:r>
      <w:hyperlink w:history="0" r:id="rId17"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подпунктом 3 пункта 4 статьи 39.11</w:t>
        </w:r>
      </w:hyperlink>
      <w:r>
        <w:rPr>
          <w:sz w:val="20"/>
        </w:rPr>
        <w:t xml:space="preserve">, </w:t>
      </w:r>
      <w:hyperlink w:history="0" r:id="rId18"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7 статьи 39.15</w:t>
        </w:r>
      </w:hyperlink>
      <w:r>
        <w:rPr>
          <w:sz w:val="20"/>
        </w:rPr>
        <w:t xml:space="preserve">, </w:t>
      </w:r>
      <w:hyperlink w:history="0" r:id="rId19"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5 статьи 39.17</w:t>
        </w:r>
      </w:hyperlink>
      <w:r>
        <w:rPr>
          <w:sz w:val="20"/>
        </w:rPr>
        <w:t xml:space="preserve">, </w:t>
      </w:r>
      <w:hyperlink w:history="0" r:id="rId20"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1 статьи 39.18</w:t>
        </w:r>
      </w:hyperlink>
      <w:r>
        <w:rPr>
          <w:sz w:val="20"/>
        </w:rPr>
        <w:t xml:space="preserve"> Земельного кодекса Российской Федерации, осуществляются в срок не более 14 календарных дней;</w:t>
      </w:r>
    </w:p>
    <w:p>
      <w:pPr>
        <w:pStyle w:val="0"/>
        <w:spacing w:before="200" w:line-rule="auto"/>
        <w:ind w:firstLine="540"/>
        <w:jc w:val="both"/>
      </w:pPr>
      <w:r>
        <w:rPr>
          <w:sz w:val="20"/>
        </w:rPr>
        <w:t xml:space="preserve">г) процедуры, предусмотренные </w:t>
      </w:r>
      <w:hyperlink w:history="0" r:id="rId21"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пунктом 7.1 статьи 39.15</w:t>
        </w:r>
      </w:hyperlink>
      <w:r>
        <w:rPr>
          <w:sz w:val="20"/>
        </w:rPr>
        <w:t xml:space="preserve">, </w:t>
      </w:r>
      <w:hyperlink w:history="0" r:id="rId22"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подпунктом 2 пункта 5 статьи 39.18</w:t>
        </w:r>
      </w:hyperlink>
      <w:r>
        <w:rPr>
          <w:sz w:val="20"/>
        </w:rPr>
        <w:t xml:space="preserve"> Земельного кодекса Российской Федерации, осуществляются в срок не более 20 календарных дней;</w:t>
      </w:r>
    </w:p>
    <w:p>
      <w:pPr>
        <w:pStyle w:val="0"/>
        <w:spacing w:before="200" w:line-rule="auto"/>
        <w:ind w:firstLine="540"/>
        <w:jc w:val="both"/>
      </w:pPr>
      <w:r>
        <w:rPr>
          <w:sz w:val="20"/>
        </w:rPr>
        <w:t xml:space="preserve">д) процедура, предусмотренная </w:t>
      </w:r>
      <w:hyperlink w:history="0" r:id="rId23"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абзацем первым пункта 5 статьи 39.18</w:t>
        </w:r>
      </w:hyperlink>
      <w:r>
        <w:rPr>
          <w:sz w:val="20"/>
        </w:rPr>
        <w:t xml:space="preserve"> Земельного кодекса Российской Федерации, осуществляется в срок не более 10 календарных дней;</w:t>
      </w:r>
    </w:p>
    <w:p>
      <w:pPr>
        <w:pStyle w:val="0"/>
        <w:spacing w:before="200" w:line-rule="auto"/>
        <w:ind w:firstLine="540"/>
        <w:jc w:val="both"/>
      </w:pPr>
      <w:r>
        <w:rPr>
          <w:sz w:val="20"/>
        </w:rPr>
        <w:t xml:space="preserve">е) наряду со случаями, предусмотренными Земельным </w:t>
      </w:r>
      <w:hyperlink w:history="0" r:id="rId24" w:tooltip="&quot;Земельный кодекс Российской Федерации&quot; от 25.10.2001 N 136-ФЗ (ред. от 16.02.2022) (с изм. и доп., вступ. в силу с 01.03.2022) {КонсультантПлюс}">
        <w:r>
          <w:rPr>
            <w:sz w:val="20"/>
            <w:color w:val="0000ff"/>
          </w:rPr>
          <w:t xml:space="preserve">кодексом</w:t>
        </w:r>
      </w:hyperlink>
      <w:r>
        <w:rPr>
          <w:sz w:val="20"/>
        </w:rPr>
        <w:t xml:space="preserve">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и Севастополя.</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по основаниям, предусмотренным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подпунктом "б" пункта 1</w:t>
        </w:r>
      </w:hyperlink>
      <w:r>
        <w:rPr>
          <w:sz w:val="20"/>
        </w:rPr>
        <w:t xml:space="preserve"> настоящего постановления,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w:t>
      </w:r>
    </w:p>
    <w:p>
      <w:pPr>
        <w:pStyle w:val="0"/>
        <w:spacing w:before="200" w:line-rule="auto"/>
        <w:ind w:firstLine="540"/>
        <w:jc w:val="both"/>
      </w:pPr>
      <w:r>
        <w:rPr>
          <w:sz w:val="20"/>
        </w:rPr>
        <w:t xml:space="preserve">Арендодатель обязан направить арендатору уведомление об отказе от указанного договора.</w:t>
      </w:r>
    </w:p>
    <w:bookmarkStart w:id="22" w:name="P22"/>
    <w:bookmarkEnd w:id="22"/>
    <w:p>
      <w:pPr>
        <w:pStyle w:val="0"/>
        <w:spacing w:before="200" w:line-rule="auto"/>
        <w:ind w:firstLine="540"/>
        <w:jc w:val="both"/>
      </w:pPr>
      <w:r>
        <w:rPr>
          <w:sz w:val="20"/>
        </w:rPr>
        <w:t xml:space="preserve">3. Предоставление земельных участков в целях осуществления деятельности, указанной в </w:t>
      </w:r>
      <w:hyperlink w:history="0" w:anchor="P15"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4. В случае если предоставление земельного участка, находящегося в государственной или муниципальной собственности, в соответствии с </w:t>
      </w:r>
      <w:hyperlink w:history="0" w:anchor="P22" w:tooltip="3. Предоставление земельных участков в целях осуществления деятельности, указанной в подпункте &quot;б&quot; пункта 1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
        <w:r>
          <w:rPr>
            <w:sz w:val="20"/>
            <w:color w:val="0000ff"/>
          </w:rPr>
          <w:t xml:space="preserve">пунктом 3</w:t>
        </w:r>
      </w:hyperlink>
      <w:r>
        <w:rPr>
          <w:sz w:val="20"/>
        </w:rPr>
        <w:t xml:space="preserve"> настоящего постановления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09.04.2022 N 629</w:t>
            <w:br/>
            <w:t>"Об особенностях регулирования земельных отношений в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09.04.2022 N 629 "Об особенностях регулирования земельных отношений в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D02BD7689D13EAB3AA90F54AB7634F286D8A52CB20DD82E670B76B207107408F4E6BB139CD2415B179F57BA05214B9C1D3E33C846261B73D2Ad4I" TargetMode = "External"/>
	<Relationship Id="rId7" Type="http://schemas.openxmlformats.org/officeDocument/2006/relationships/hyperlink" Target="consultantplus://offline/ref=D02BD7689D13EAB3AA90F54AB7634F286A8257CE23D182E670B76B207107408F5C6BE935CC2C0BB47CE02DF11424d3I" TargetMode = "External"/>
	<Relationship Id="rId8" Type="http://schemas.openxmlformats.org/officeDocument/2006/relationships/hyperlink" Target="consultantplus://offline/ref=D02BD7689D13EAB3AA90F54AB7634F286A8257CE23D182E670B76B207107408F4E6BB131CD231EE029BA7AFC1749AAC0DFE33E807E26d1I" TargetMode = "External"/>
	<Relationship Id="rId9" Type="http://schemas.openxmlformats.org/officeDocument/2006/relationships/hyperlink" Target="consultantplus://offline/ref=D02BD7689D13EAB3AA90F54AB7634F286A8257CE23D182E670B76B207107408F4E6BB131CC251EE029BA7AFC1749AAC0DFE33E807E26d1I" TargetMode = "External"/>
	<Relationship Id="rId10" Type="http://schemas.openxmlformats.org/officeDocument/2006/relationships/hyperlink" Target="consultantplus://offline/ref=D02BD7689D13EAB3AA90F54AB7634F286A8257CE23D182E670B76B207107408F4E6BB13CCB2D1EE029BA7AFC1749AAC0DFE33E807E26d1I" TargetMode = "External"/>
	<Relationship Id="rId11" Type="http://schemas.openxmlformats.org/officeDocument/2006/relationships/hyperlink" Target="consultantplus://offline/ref=D02BD7689D13EAB3AA90F54AB7634F286A8257CE23D182E670B76B207107408F4E6BB13CCA241EE029BA7AFC1749AAC0DFE33E807E26d1I" TargetMode = "External"/>
	<Relationship Id="rId12" Type="http://schemas.openxmlformats.org/officeDocument/2006/relationships/hyperlink" Target="consultantplus://offline/ref=D02BD7689D13EAB3AA90F54AB7634F286A8257CE23D182E670B76B207107408F4E6BB131CC251EE029BA7AFC1749AAC0DFE33E807E26d1I" TargetMode = "External"/>
	<Relationship Id="rId13" Type="http://schemas.openxmlformats.org/officeDocument/2006/relationships/hyperlink" Target="consultantplus://offline/ref=D02BD7689D13EAB3AA90F54AB7634F286A8257CE23D182E670B76B207107408F5C6BE935CC2C0BB47CE02DF11424d3I" TargetMode = "External"/>
	<Relationship Id="rId14" Type="http://schemas.openxmlformats.org/officeDocument/2006/relationships/hyperlink" Target="consultantplus://offline/ref=D02BD7689D13EAB3AA90F54AB7634F286A8257CE23D182E670B76B207107408F4E6BB13CCE251EE029BA7AFC1749AAC0DFE33E807E26d1I" TargetMode = "External"/>
	<Relationship Id="rId15" Type="http://schemas.openxmlformats.org/officeDocument/2006/relationships/hyperlink" Target="consultantplus://offline/ref=D02BD7689D13EAB3AA90F54AB7634F286A8257CE23D182E670B76B207107408F5C6BE935CC2C0BB47CE02DF11424d3I" TargetMode = "External"/>
	<Relationship Id="rId16" Type="http://schemas.openxmlformats.org/officeDocument/2006/relationships/hyperlink" Target="consultantplus://offline/ref=D02BD7689D13EAB3AA90F54AB7634F286A8257CE23D182E670B76B207107408F4E6BB13BCE2C1EE029BA7AFC1749AAC0DFE33E807E26d1I" TargetMode = "External"/>
	<Relationship Id="rId17" Type="http://schemas.openxmlformats.org/officeDocument/2006/relationships/hyperlink" Target="consultantplus://offline/ref=D02BD7689D13EAB3AA90F54AB7634F286A8257CE23D182E670B76B207107408F4E6BB13ECD2C1EE029BA7AFC1749AAC0DFE33E807E26d1I" TargetMode = "External"/>
	<Relationship Id="rId18" Type="http://schemas.openxmlformats.org/officeDocument/2006/relationships/hyperlink" Target="consultantplus://offline/ref=D02BD7689D13EAB3AA90F54AB7634F286A8257CE23D182E670B76B207107408F4E6BB13FCA211EE029BA7AFC1749AAC0DFE33E807E26d1I" TargetMode = "External"/>
	<Relationship Id="rId19" Type="http://schemas.openxmlformats.org/officeDocument/2006/relationships/hyperlink" Target="consultantplus://offline/ref=D02BD7689D13EAB3AA90F54AB7634F286A8257CE23D182E670B76B207107408F4E6BB130C8261EE029BA7AFC1749AAC0DFE33E807E26d1I" TargetMode = "External"/>
	<Relationship Id="rId20" Type="http://schemas.openxmlformats.org/officeDocument/2006/relationships/hyperlink" Target="consultantplus://offline/ref=D02BD7689D13EAB3AA90F54AB7634F286A8257CE23D182E670B76B207107408F4E6BB139CA2612BF2CAF6BA41B40BCDEDBF922827C612Bd5I" TargetMode = "External"/>
	<Relationship Id="rId21" Type="http://schemas.openxmlformats.org/officeDocument/2006/relationships/hyperlink" Target="consultantplus://offline/ref=D02BD7689D13EAB3AA90F54AB7634F286A8257CE23D182E670B76B207107408F4E6BB139CB2312BF2CAF6BA41B40BCDEDBF922827C612Bd5I" TargetMode = "External"/>
	<Relationship Id="rId22" Type="http://schemas.openxmlformats.org/officeDocument/2006/relationships/hyperlink" Target="consultantplus://offline/ref=D02BD7689D13EAB3AA90F54AB7634F286A8257CE23D182E670B76B207107408F4E6BB139CB231CBF2CAF6BA41B40BCDEDBF922827C612Bd5I" TargetMode = "External"/>
	<Relationship Id="rId23" Type="http://schemas.openxmlformats.org/officeDocument/2006/relationships/hyperlink" Target="consultantplus://offline/ref=D02BD7689D13EAB3AA90F54AB7634F286A8257CE23D182E670B76B207107408F4E6BB130CA201EE029BA7AFC1749AAC0DFE33E807E26d1I" TargetMode = "External"/>
	<Relationship Id="rId24" Type="http://schemas.openxmlformats.org/officeDocument/2006/relationships/hyperlink" Target="consultantplus://offline/ref=D02BD7689D13EAB3AA90F54AB7634F286A8257CE23D182E670B76B207107408F5C6BE935CC2C0BB47CE02DF11424d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4022.00.01</Application>
  <Company>КонсультантПлюс Версия 4022.00.01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09.04.2022 N 629
"Об особенностях регулирования земельных отношений в Российской Федерации в 2022 году"</dc:title>
  <dcterms:created xsi:type="dcterms:W3CDTF">2022-04-18T08:29:54Z</dcterms:created>
</cp:coreProperties>
</file>