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16990-2017. Межгосударственный стандарт. Рожь. Технические условия"</w:t>
              <w:br/>
              <w:t xml:space="preserve">(введен в действие Приказом Росстандарта от 31.10.2017 N 1592-ст)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31.10.2017 N 1592-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31 октября 2017 г. N 1592-ст</w:t>
      </w:r>
    </w:p>
    <w:p>
      <w:pPr>
        <w:pStyle w:val="0"/>
        <w:jc w:val="both"/>
      </w:pPr>
      <w:r>
        <w:rPr>
          <w:sz w:val="20"/>
        </w:rPr>
      </w:r>
    </w:p>
    <w:p>
      <w:pPr>
        <w:pStyle w:val="2"/>
        <w:jc w:val="center"/>
      </w:pPr>
      <w:r>
        <w:rPr>
          <w:sz w:val="20"/>
        </w:rPr>
        <w:t xml:space="preserve">МЕЖГОСУДАРСТВЕННЫЙ СТАНДАРТ</w:t>
      </w:r>
    </w:p>
    <w:p>
      <w:pPr>
        <w:pStyle w:val="2"/>
        <w:jc w:val="center"/>
      </w:pPr>
      <w:r>
        <w:rPr>
          <w:sz w:val="20"/>
        </w:rPr>
      </w:r>
    </w:p>
    <w:p>
      <w:pPr>
        <w:pStyle w:val="2"/>
        <w:jc w:val="center"/>
      </w:pPr>
      <w:r>
        <w:rPr>
          <w:sz w:val="20"/>
        </w:rPr>
        <w:t xml:space="preserve">РОЖЬ</w:t>
      </w:r>
    </w:p>
    <w:p>
      <w:pPr>
        <w:pStyle w:val="2"/>
        <w:jc w:val="center"/>
      </w:pPr>
      <w:r>
        <w:rPr>
          <w:sz w:val="20"/>
        </w:rPr>
      </w:r>
    </w:p>
    <w:p>
      <w:pPr>
        <w:pStyle w:val="2"/>
        <w:jc w:val="center"/>
      </w:pPr>
      <w:r>
        <w:rPr>
          <w:sz w:val="20"/>
        </w:rPr>
        <w:t xml:space="preserve">ТЕХНИЧЕСКИЕ УСЛОВИЯ</w:t>
      </w:r>
    </w:p>
    <w:p>
      <w:pPr>
        <w:pStyle w:val="2"/>
        <w:jc w:val="center"/>
      </w:pPr>
      <w:r>
        <w:rPr>
          <w:sz w:val="20"/>
        </w:rPr>
      </w:r>
    </w:p>
    <w:p>
      <w:pPr>
        <w:pStyle w:val="2"/>
        <w:jc w:val="center"/>
      </w:pPr>
      <w:r>
        <w:rPr>
          <w:sz w:val="20"/>
        </w:rPr>
        <w:t xml:space="preserve">Rye. Specifications</w:t>
      </w:r>
    </w:p>
    <w:p>
      <w:pPr>
        <w:pStyle w:val="2"/>
        <w:jc w:val="center"/>
      </w:pPr>
      <w:r>
        <w:rPr>
          <w:sz w:val="20"/>
        </w:rPr>
      </w:r>
    </w:p>
    <w:p>
      <w:pPr>
        <w:pStyle w:val="2"/>
        <w:jc w:val="center"/>
      </w:pPr>
      <w:r>
        <w:rPr>
          <w:sz w:val="20"/>
        </w:rPr>
        <w:t xml:space="preserve">ГОСТ 16990-2017</w:t>
      </w:r>
    </w:p>
    <w:p>
      <w:pPr>
        <w:pStyle w:val="0"/>
        <w:jc w:val="both"/>
      </w:pPr>
      <w:r>
        <w:rPr>
          <w:sz w:val="20"/>
        </w:rPr>
      </w:r>
    </w:p>
    <w:p>
      <w:pPr>
        <w:pStyle w:val="0"/>
        <w:jc w:val="right"/>
      </w:pPr>
      <w:r>
        <w:rPr>
          <w:sz w:val="20"/>
        </w:rPr>
        <w:t xml:space="preserve">МКС 67.060</w:t>
      </w:r>
    </w:p>
    <w:p>
      <w:pPr>
        <w:pStyle w:val="0"/>
        <w:jc w:val="both"/>
      </w:pPr>
      <w:r>
        <w:rPr>
          <w:sz w:val="20"/>
        </w:rPr>
      </w:r>
    </w:p>
    <w:p>
      <w:pPr>
        <w:pStyle w:val="0"/>
        <w:jc w:val="right"/>
      </w:pPr>
      <w:r>
        <w:rPr>
          <w:sz w:val="20"/>
        </w:rPr>
        <w:t xml:space="preserve">Дата введения</w:t>
      </w:r>
    </w:p>
    <w:p>
      <w:pPr>
        <w:pStyle w:val="0"/>
        <w:jc w:val="right"/>
      </w:pPr>
      <w:r>
        <w:rPr>
          <w:sz w:val="20"/>
        </w:rPr>
        <w:t xml:space="preserve">1 января 2019 года</w:t>
      </w:r>
    </w:p>
    <w:p>
      <w:pPr>
        <w:pStyle w:val="0"/>
        <w:jc w:val="both"/>
      </w:pPr>
      <w:r>
        <w:rPr>
          <w:sz w:val="20"/>
        </w:rPr>
      </w:r>
    </w:p>
    <w:p>
      <w:pPr>
        <w:pStyle w:val="0"/>
        <w:outlineLvl w:val="1"/>
        <w:jc w:val="center"/>
      </w:pPr>
      <w:r>
        <w:rPr>
          <w:sz w:val="20"/>
        </w:rPr>
        <w:t xml:space="preserve">Предисловие</w:t>
      </w:r>
    </w:p>
    <w:p>
      <w:pPr>
        <w:pStyle w:val="0"/>
        <w:jc w:val="both"/>
      </w:pPr>
      <w:r>
        <w:rPr>
          <w:sz w:val="20"/>
        </w:rPr>
      </w:r>
    </w:p>
    <w:p>
      <w:pPr>
        <w:pStyle w:val="0"/>
        <w:ind w:firstLine="540"/>
        <w:jc w:val="both"/>
      </w:pPr>
      <w:r>
        <w:rPr>
          <w:sz w:val="20"/>
        </w:rPr>
        <w:t xml:space="preserve">Цели, основные принципы и основной порядок проведения работ по межгосударственной стандартизации установлены в </w:t>
      </w:r>
      <w:hyperlink w:history="0" r:id="rId8"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1.0-2015</w:t>
        </w:r>
      </w:hyperlink>
      <w:r>
        <w:rPr>
          <w:sz w:val="20"/>
        </w:rPr>
        <w:t xml:space="preserve"> "Межгосударственная система стандартизации. Основные положения" и </w:t>
      </w:r>
      <w:hyperlink w:history="0" r:id="rId9"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1.2-2015</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jc w:val="both"/>
      </w:pPr>
      <w:r>
        <w:rPr>
          <w:sz w:val="20"/>
        </w:rPr>
      </w:r>
    </w:p>
    <w:p>
      <w:pPr>
        <w:pStyle w:val="0"/>
        <w:outlineLvl w:val="1"/>
        <w:ind w:firstLine="540"/>
        <w:jc w:val="both"/>
      </w:pPr>
      <w:r>
        <w:rPr>
          <w:sz w:val="20"/>
        </w:rPr>
        <w:t xml:space="preserve">Сведения о стандарте</w:t>
      </w:r>
    </w:p>
    <w:p>
      <w:pPr>
        <w:pStyle w:val="0"/>
        <w:jc w:val="both"/>
      </w:pPr>
      <w:r>
        <w:rPr>
          <w:sz w:val="20"/>
        </w:rPr>
      </w:r>
    </w:p>
    <w:p>
      <w:pPr>
        <w:pStyle w:val="0"/>
        <w:ind w:firstLine="540"/>
        <w:jc w:val="both"/>
      </w:pPr>
      <w:r>
        <w:rPr>
          <w:sz w:val="20"/>
        </w:rPr>
        <w:t xml:space="preserve">1 РАЗРАБОТАН Федеральным государственным бюджетным научным учреждением "Всероссийский научно-исследовательский институт зерна и продуктов его переработки" (ФГБНУ "ВНИИЗ")</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30 июня 2017 г. N 100-П)</w:t>
      </w:r>
    </w:p>
    <w:p>
      <w:pPr>
        <w:pStyle w:val="0"/>
        <w:spacing w:before="200" w:line-rule="auto"/>
        <w:ind w:firstLine="540"/>
        <w:jc w:val="both"/>
      </w:pPr>
      <w:r>
        <w:rPr>
          <w:sz w:val="20"/>
        </w:rPr>
        <w:t xml:space="preserve">За принятие проголосовали: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08"/>
        <w:gridCol w:w="1644"/>
        <w:gridCol w:w="4762"/>
      </w:tblGrid>
      <w:tr>
        <w:tblPrEx>
          <w:tblBorders>
            <w:insideH w:val="single" w:sz="4"/>
          </w:tblBorders>
        </w:tblPrEx>
        <w:tc>
          <w:tcPr>
            <w:tcW w:w="2608"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644" w:type="dxa"/>
            <w:vAlign w:val="center"/>
            <w:tcBorders>
              <w:top w:val="single" w:sz="4"/>
              <w:bottom w:val="single" w:sz="4"/>
            </w:tcBorders>
          </w:tcPr>
          <w:p>
            <w:pPr>
              <w:pStyle w:val="0"/>
              <w:jc w:val="center"/>
            </w:pPr>
            <w:r>
              <w:rPr>
                <w:sz w:val="20"/>
              </w:rPr>
              <w:t xml:space="preserve">Код страны по МК (ИСО 3166) 004-97</w:t>
            </w:r>
          </w:p>
        </w:tc>
        <w:tc>
          <w:tcPr>
            <w:tcW w:w="4762"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608" w:type="dxa"/>
            <w:tcBorders>
              <w:top w:val="single" w:sz="4"/>
              <w:bottom w:val="nil"/>
            </w:tcBorders>
          </w:tcPr>
          <w:p>
            <w:pPr>
              <w:pStyle w:val="0"/>
              <w:ind w:left="283"/>
            </w:pPr>
            <w:r>
              <w:rPr>
                <w:sz w:val="20"/>
              </w:rPr>
              <w:t xml:space="preserve">Армения</w:t>
            </w:r>
          </w:p>
        </w:tc>
        <w:tc>
          <w:tcPr>
            <w:tcW w:w="1644" w:type="dxa"/>
            <w:tcBorders>
              <w:top w:val="single" w:sz="4"/>
              <w:bottom w:val="nil"/>
            </w:tcBorders>
          </w:tcPr>
          <w:p>
            <w:pPr>
              <w:pStyle w:val="0"/>
              <w:jc w:val="center"/>
            </w:pPr>
            <w:r>
              <w:rPr>
                <w:sz w:val="20"/>
              </w:rPr>
              <w:t xml:space="preserve">AM</w:t>
            </w:r>
          </w:p>
        </w:tc>
        <w:tc>
          <w:tcPr>
            <w:tcW w:w="4762" w:type="dxa"/>
            <w:tcBorders>
              <w:top w:val="single" w:sz="4"/>
              <w:bottom w:val="nil"/>
            </w:tcBorders>
          </w:tcPr>
          <w:p>
            <w:pPr>
              <w:pStyle w:val="0"/>
              <w:ind w:left="283"/>
            </w:pPr>
            <w:r>
              <w:rPr>
                <w:sz w:val="20"/>
              </w:rPr>
              <w:t xml:space="preserve">Минэкономики Республики Армения</w:t>
            </w:r>
          </w:p>
        </w:tc>
      </w:tr>
      <w:tr>
        <w:tc>
          <w:tcPr>
            <w:tcW w:w="2608" w:type="dxa"/>
            <w:tcBorders>
              <w:top w:val="nil"/>
              <w:bottom w:val="nil"/>
            </w:tcBorders>
          </w:tcPr>
          <w:p>
            <w:pPr>
              <w:pStyle w:val="0"/>
              <w:ind w:left="283"/>
            </w:pPr>
            <w:r>
              <w:rPr>
                <w:sz w:val="20"/>
              </w:rPr>
              <w:t xml:space="preserve">Беларусь</w:t>
            </w:r>
          </w:p>
        </w:tc>
        <w:tc>
          <w:tcPr>
            <w:tcW w:w="1644" w:type="dxa"/>
            <w:tcBorders>
              <w:top w:val="nil"/>
              <w:bottom w:val="nil"/>
            </w:tcBorders>
          </w:tcPr>
          <w:p>
            <w:pPr>
              <w:pStyle w:val="0"/>
              <w:jc w:val="center"/>
            </w:pPr>
            <w:r>
              <w:rPr>
                <w:sz w:val="20"/>
              </w:rPr>
              <w:t xml:space="preserve">BY</w:t>
            </w:r>
          </w:p>
        </w:tc>
        <w:tc>
          <w:tcPr>
            <w:tcW w:w="4762" w:type="dxa"/>
            <w:tcBorders>
              <w:top w:val="nil"/>
              <w:bottom w:val="nil"/>
            </w:tcBorders>
          </w:tcPr>
          <w:p>
            <w:pPr>
              <w:pStyle w:val="0"/>
              <w:ind w:left="283"/>
            </w:pPr>
            <w:r>
              <w:rPr>
                <w:sz w:val="20"/>
              </w:rPr>
              <w:t xml:space="preserve">Госстандарт Республики Беларусь</w:t>
            </w:r>
          </w:p>
        </w:tc>
      </w:tr>
      <w:tr>
        <w:tc>
          <w:tcPr>
            <w:tcW w:w="2608" w:type="dxa"/>
            <w:tcBorders>
              <w:top w:val="nil"/>
              <w:bottom w:val="nil"/>
            </w:tcBorders>
          </w:tcPr>
          <w:p>
            <w:pPr>
              <w:pStyle w:val="0"/>
              <w:ind w:left="283"/>
            </w:pPr>
            <w:r>
              <w:rPr>
                <w:sz w:val="20"/>
              </w:rPr>
              <w:t xml:space="preserve">Казахстан</w:t>
            </w:r>
          </w:p>
        </w:tc>
        <w:tc>
          <w:tcPr>
            <w:tcW w:w="1644" w:type="dxa"/>
            <w:tcBorders>
              <w:top w:val="nil"/>
              <w:bottom w:val="nil"/>
            </w:tcBorders>
          </w:tcPr>
          <w:p>
            <w:pPr>
              <w:pStyle w:val="0"/>
              <w:jc w:val="center"/>
            </w:pPr>
            <w:r>
              <w:rPr>
                <w:sz w:val="20"/>
              </w:rPr>
              <w:t xml:space="preserve">KZ</w:t>
            </w:r>
          </w:p>
        </w:tc>
        <w:tc>
          <w:tcPr>
            <w:tcW w:w="4762" w:type="dxa"/>
            <w:tcBorders>
              <w:top w:val="nil"/>
              <w:bottom w:val="nil"/>
            </w:tcBorders>
          </w:tcPr>
          <w:p>
            <w:pPr>
              <w:pStyle w:val="0"/>
              <w:ind w:left="283"/>
            </w:pPr>
            <w:r>
              <w:rPr>
                <w:sz w:val="20"/>
              </w:rPr>
              <w:t xml:space="preserve">Госстандарт Республики Казахстан</w:t>
            </w:r>
          </w:p>
        </w:tc>
      </w:tr>
      <w:tr>
        <w:tc>
          <w:tcPr>
            <w:tcW w:w="2608" w:type="dxa"/>
            <w:tcBorders>
              <w:top w:val="nil"/>
              <w:bottom w:val="nil"/>
            </w:tcBorders>
          </w:tcPr>
          <w:p>
            <w:pPr>
              <w:pStyle w:val="0"/>
              <w:ind w:left="283"/>
            </w:pPr>
            <w:r>
              <w:rPr>
                <w:sz w:val="20"/>
              </w:rPr>
              <w:t xml:space="preserve">Киргизия</w:t>
            </w:r>
          </w:p>
        </w:tc>
        <w:tc>
          <w:tcPr>
            <w:tcW w:w="1644" w:type="dxa"/>
            <w:tcBorders>
              <w:top w:val="nil"/>
              <w:bottom w:val="nil"/>
            </w:tcBorders>
          </w:tcPr>
          <w:p>
            <w:pPr>
              <w:pStyle w:val="0"/>
              <w:jc w:val="center"/>
            </w:pPr>
            <w:r>
              <w:rPr>
                <w:sz w:val="20"/>
              </w:rPr>
              <w:t xml:space="preserve">KG</w:t>
            </w:r>
          </w:p>
        </w:tc>
        <w:tc>
          <w:tcPr>
            <w:tcW w:w="4762" w:type="dxa"/>
            <w:tcBorders>
              <w:top w:val="nil"/>
              <w:bottom w:val="nil"/>
            </w:tcBorders>
          </w:tcPr>
          <w:p>
            <w:pPr>
              <w:pStyle w:val="0"/>
              <w:ind w:left="283"/>
            </w:pPr>
            <w:r>
              <w:rPr>
                <w:sz w:val="20"/>
              </w:rPr>
              <w:t xml:space="preserve">Кыргызстандарт</w:t>
            </w:r>
          </w:p>
        </w:tc>
      </w:tr>
      <w:tr>
        <w:tc>
          <w:tcPr>
            <w:tcW w:w="2608" w:type="dxa"/>
            <w:tcBorders>
              <w:top w:val="nil"/>
              <w:bottom w:val="single" w:sz="4"/>
            </w:tcBorders>
          </w:tcPr>
          <w:p>
            <w:pPr>
              <w:pStyle w:val="0"/>
              <w:ind w:left="283"/>
            </w:pPr>
            <w:r>
              <w:rPr>
                <w:sz w:val="20"/>
              </w:rPr>
              <w:t xml:space="preserve">Россия</w:t>
            </w:r>
          </w:p>
        </w:tc>
        <w:tc>
          <w:tcPr>
            <w:tcW w:w="1644" w:type="dxa"/>
            <w:tcBorders>
              <w:top w:val="nil"/>
              <w:bottom w:val="single" w:sz="4"/>
            </w:tcBorders>
          </w:tcPr>
          <w:p>
            <w:pPr>
              <w:pStyle w:val="0"/>
              <w:jc w:val="center"/>
            </w:pPr>
            <w:r>
              <w:rPr>
                <w:sz w:val="20"/>
              </w:rPr>
              <w:t xml:space="preserve">RU</w:t>
            </w:r>
          </w:p>
        </w:tc>
        <w:tc>
          <w:tcPr>
            <w:tcW w:w="4762" w:type="dxa"/>
            <w:tcBorders>
              <w:top w:val="nil"/>
              <w:bottom w:val="single" w:sz="4"/>
            </w:tcBorders>
          </w:tcPr>
          <w:p>
            <w:pPr>
              <w:pStyle w:val="0"/>
              <w:ind w:left="283"/>
            </w:pPr>
            <w:r>
              <w:rPr>
                <w:sz w:val="20"/>
              </w:rPr>
              <w:t xml:space="preserve">Росстандарт</w:t>
            </w:r>
          </w:p>
        </w:tc>
      </w:tr>
    </w:tbl>
    <w:p>
      <w:pPr>
        <w:pStyle w:val="0"/>
        <w:jc w:val="both"/>
      </w:pPr>
      <w:r>
        <w:rPr>
          <w:sz w:val="20"/>
        </w:rPr>
      </w:r>
    </w:p>
    <w:p>
      <w:pPr>
        <w:pStyle w:val="0"/>
        <w:ind w:firstLine="540"/>
        <w:jc w:val="both"/>
      </w:pPr>
      <w:r>
        <w:rPr>
          <w:sz w:val="20"/>
        </w:rPr>
        <w:t xml:space="preserve">4 </w:t>
      </w:r>
      <w:hyperlink w:history="0" r:id="rId10" w:tooltip="Приказ Росстандарта от 31.10.2017 N 1592-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 октября 2017 г. N 1592-ст межгосударственный стандарт ГОСТ 16990-2017 введен в действие в качестве национального стандарта Российской Федерации с 1 января 2019 г.</w:t>
      </w:r>
    </w:p>
    <w:p>
      <w:pPr>
        <w:pStyle w:val="0"/>
        <w:spacing w:before="200" w:line-rule="auto"/>
        <w:ind w:firstLine="540"/>
        <w:jc w:val="both"/>
      </w:pPr>
      <w:r>
        <w:rPr>
          <w:sz w:val="20"/>
        </w:rPr>
        <w:t xml:space="preserve">5 ВВЕДЕН ВПЕРВЫЕ</w:t>
      </w:r>
    </w:p>
    <w:p>
      <w:pPr>
        <w:pStyle w:val="0"/>
        <w:jc w:val="both"/>
      </w:pPr>
      <w:r>
        <w:rPr>
          <w:sz w:val="20"/>
        </w:rPr>
      </w:r>
    </w:p>
    <w:p>
      <w:pPr>
        <w:pStyle w:val="0"/>
        <w:ind w:firstLine="540"/>
        <w:jc w:val="both"/>
      </w:pPr>
      <w:r>
        <w:rPr>
          <w:sz w:val="20"/>
        </w:rP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sz w:val="20"/>
        </w:rPr>
        <w:t xml:space="preserve">www.gost.ru</w:t>
      </w:r>
      <w:r>
        <w:rPr>
          <w:sz w:val="20"/>
        </w:rPr>
        <w:t xml:space="preserve">)</w:t>
      </w:r>
    </w:p>
    <w:p>
      <w:pPr>
        <w:pStyle w:val="0"/>
        <w:jc w:val="both"/>
      </w:pPr>
      <w:r>
        <w:rPr>
          <w:sz w:val="20"/>
        </w:rPr>
      </w:r>
    </w:p>
    <w:p>
      <w:pPr>
        <w:pStyle w:val="0"/>
        <w:outlineLvl w:val="1"/>
        <w:ind w:firstLine="540"/>
        <w:jc w:val="both"/>
      </w:pPr>
      <w:r>
        <w:rPr>
          <w:sz w:val="20"/>
        </w:rPr>
        <w:t xml:space="preserve">1. Область применения</w:t>
      </w:r>
    </w:p>
    <w:p>
      <w:pPr>
        <w:pStyle w:val="0"/>
        <w:jc w:val="both"/>
      </w:pPr>
      <w:r>
        <w:rPr>
          <w:sz w:val="20"/>
        </w:rPr>
      </w:r>
    </w:p>
    <w:p>
      <w:pPr>
        <w:pStyle w:val="0"/>
        <w:ind w:firstLine="540"/>
        <w:jc w:val="both"/>
      </w:pPr>
      <w:r>
        <w:rPr>
          <w:sz w:val="20"/>
        </w:rPr>
        <w:t xml:space="preserve">Настоящий стандарт распространяется на зерно ржи (Secale cereal L.).</w:t>
      </w:r>
    </w:p>
    <w:p>
      <w:pPr>
        <w:pStyle w:val="0"/>
        <w:jc w:val="both"/>
      </w:pPr>
      <w:r>
        <w:rPr>
          <w:sz w:val="20"/>
        </w:rPr>
      </w:r>
    </w:p>
    <w:p>
      <w:pPr>
        <w:pStyle w:val="0"/>
        <w:outlineLvl w:val="1"/>
        <w:ind w:firstLine="540"/>
        <w:jc w:val="both"/>
      </w:pPr>
      <w:r>
        <w:rPr>
          <w:sz w:val="20"/>
        </w:rPr>
        <w:t xml:space="preserve">2. Нормативные ссылки</w:t>
      </w:r>
    </w:p>
    <w:p>
      <w:pPr>
        <w:pStyle w:val="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1" w:tooltip="Ссылка на КонсультантПлюс">
        <w:r>
          <w:rPr>
            <w:sz w:val="20"/>
            <w:color w:val="0000ff"/>
          </w:rPr>
          <w:t xml:space="preserve">ГОСТ 12.1.004-91</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2" w:tooltip="Ссылка на КонсультантПлюс">
        <w:r>
          <w:rPr>
            <w:sz w:val="20"/>
            <w:color w:val="0000ff"/>
          </w:rPr>
          <w:t xml:space="preserve">ГОСТ 12.1.005-88</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3" w:tooltip="Ссылка на КонсультантПлюс">
        <w:r>
          <w:rPr>
            <w:sz w:val="20"/>
            <w:color w:val="0000ff"/>
          </w:rPr>
          <w:t xml:space="preserve">ГОСТ 12.2.003-91</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4" w:tooltip="Ссылка на КонсультантПлюс">
        <w:r>
          <w:rPr>
            <w:sz w:val="20"/>
            <w:color w:val="0000ff"/>
          </w:rPr>
          <w:t xml:space="preserve">ГОСТ 12.4.009-83</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5" w:tooltip="Ссылка на КонсультантПлюс">
        <w:r>
          <w:rPr>
            <w:sz w:val="20"/>
            <w:color w:val="0000ff"/>
          </w:rPr>
          <w:t xml:space="preserve">ГОСТ 12.4.021-75</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16" w:tooltip="&quot;ГОСТ 10840-64. Государственный стандарт Союза ССР. Зерно. Методы определения натуры&quot; (утв. Госстандартом СССР 20.04.1964) (ред. от 11.04.1988) ------------ Утратил силу или отменен {КонсультантПлюс}">
        <w:r>
          <w:rPr>
            <w:sz w:val="20"/>
            <w:color w:val="0000ff"/>
          </w:rPr>
          <w:t xml:space="preserve">ГОСТ 10840-64</w:t>
        </w:r>
      </w:hyperlink>
      <w:r>
        <w:rPr>
          <w:sz w:val="20"/>
        </w:rPr>
        <w:t xml:space="preserve"> Зерно. Методы определения натуры</w:t>
      </w:r>
    </w:p>
    <w:p>
      <w:pPr>
        <w:pStyle w:val="0"/>
        <w:spacing w:before="200" w:line-rule="auto"/>
        <w:ind w:firstLine="540"/>
        <w:jc w:val="both"/>
      </w:pPr>
      <w:hyperlink w:history="0" r:id="rId17" w:tooltip="&quot;ГОСТ 10967-90. Государственный стандарт Союза ССР. Зерно. Методы определения запаха и цвета&quot; (утв. и введен в действие Постановлением Госстандарта СССР от 28.09.1990 N 2585) ------------ Утратил силу или отменен {КонсультантПлюс}">
        <w:r>
          <w:rPr>
            <w:sz w:val="20"/>
            <w:color w:val="0000ff"/>
          </w:rPr>
          <w:t xml:space="preserve">ГОСТ 10967-90</w:t>
        </w:r>
      </w:hyperlink>
      <w:r>
        <w:rPr>
          <w:sz w:val="20"/>
        </w:rPr>
        <w:t xml:space="preserve"> Зерно. Методы определения запаха и цвета</w:t>
      </w:r>
    </w:p>
    <w:p>
      <w:pPr>
        <w:pStyle w:val="0"/>
        <w:spacing w:before="200" w:line-rule="auto"/>
        <w:ind w:firstLine="540"/>
        <w:jc w:val="both"/>
      </w:pPr>
      <w:hyperlink w:history="0" r:id="rId18"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13496.20-2014</w:t>
        </w:r>
      </w:hyperlink>
      <w:r>
        <w:rPr>
          <w:sz w:val="20"/>
        </w:rPr>
        <w:t xml:space="preserve"> Корма, комбикорма, комбикормовое сырье. Метод определения остаточных количеств пестицидов</w:t>
      </w:r>
    </w:p>
    <w:p>
      <w:pPr>
        <w:pStyle w:val="0"/>
        <w:spacing w:before="200" w:line-rule="auto"/>
        <w:ind w:firstLine="540"/>
        <w:jc w:val="both"/>
      </w:pPr>
      <w:hyperlink w:history="0" r:id="rId19"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13586.3-2015</w:t>
        </w:r>
      </w:hyperlink>
      <w:r>
        <w:rPr>
          <w:sz w:val="20"/>
        </w:rPr>
        <w:t xml:space="preserve"> Зерно. Правила приемки и методы отбора проб</w:t>
      </w:r>
    </w:p>
    <w:p>
      <w:pPr>
        <w:pStyle w:val="0"/>
        <w:spacing w:before="200" w:line-rule="auto"/>
        <w:ind w:firstLine="540"/>
        <w:jc w:val="both"/>
      </w:pPr>
      <w:hyperlink w:history="0" r:id="rId20"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13586.4-83</w:t>
        </w:r>
      </w:hyperlink>
      <w:r>
        <w:rPr>
          <w:sz w:val="20"/>
        </w:rPr>
        <w:t xml:space="preserve"> Зерно. Методы определения зараженности и поврежденности вредителями</w:t>
      </w:r>
    </w:p>
    <w:p>
      <w:pPr>
        <w:pStyle w:val="0"/>
        <w:spacing w:before="200" w:line-rule="auto"/>
        <w:ind w:firstLine="540"/>
        <w:jc w:val="both"/>
      </w:pPr>
      <w:hyperlink w:history="0" r:id="rId21"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13586.5-2015</w:t>
        </w:r>
      </w:hyperlink>
      <w:r>
        <w:rPr>
          <w:sz w:val="20"/>
        </w:rPr>
        <w:t xml:space="preserve"> Зерно. Метод определения влажности</w:t>
      </w:r>
    </w:p>
    <w:p>
      <w:pPr>
        <w:pStyle w:val="0"/>
        <w:spacing w:before="200" w:line-rule="auto"/>
        <w:ind w:firstLine="540"/>
        <w:jc w:val="both"/>
      </w:pPr>
      <w:hyperlink w:history="0" r:id="rId22"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13586.6-93</w:t>
        </w:r>
      </w:hyperlink>
      <w:r>
        <w:rPr>
          <w:sz w:val="20"/>
        </w:rPr>
        <w:t xml:space="preserve"> Зерно. Методы определения зараженности вредителями</w:t>
      </w:r>
    </w:p>
    <w:p>
      <w:pPr>
        <w:pStyle w:val="0"/>
        <w:spacing w:before="200" w:line-rule="auto"/>
        <w:ind w:firstLine="540"/>
        <w:jc w:val="both"/>
      </w:pPr>
      <w:r>
        <w:rPr>
          <w:sz w:val="20"/>
        </w:rPr>
        <w:t xml:space="preserve">ГОСТ ИСО 21569-2009 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Не действует в Российской Федерации.</w:t>
      </w:r>
    </w:p>
    <w:p>
      <w:pPr>
        <w:pStyle w:val="0"/>
        <w:jc w:val="both"/>
      </w:pPr>
      <w:r>
        <w:rPr>
          <w:sz w:val="20"/>
        </w:rPr>
      </w:r>
    </w:p>
    <w:p>
      <w:pPr>
        <w:pStyle w:val="0"/>
        <w:ind w:firstLine="540"/>
        <w:jc w:val="both"/>
      </w:pPr>
      <w:r>
        <w:rPr>
          <w:sz w:val="20"/>
        </w:rPr>
        <w:t xml:space="preserve">ГОСТ ИСО 21570-2009 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Не действует в Российской Федерации.</w:t>
      </w:r>
    </w:p>
    <w:p>
      <w:pPr>
        <w:pStyle w:val="0"/>
        <w:jc w:val="both"/>
      </w:pPr>
      <w:r>
        <w:rPr>
          <w:sz w:val="20"/>
        </w:rPr>
      </w:r>
    </w:p>
    <w:p>
      <w:pPr>
        <w:pStyle w:val="0"/>
        <w:ind w:firstLine="540"/>
        <w:jc w:val="both"/>
      </w:pPr>
      <w:r>
        <w:rPr>
          <w:sz w:val="20"/>
        </w:rPr>
        <w:t xml:space="preserve">ГОСТ ИСО 21571-2009 Продукты пищевые. Методы анализа для обнаружения генетически модифицированных организмов и производных продуктов. Экстрагирование нуклеиновых кислот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3" w:tooltip="&quot;ГОСТ Р ИСО 21571-2014.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Экстракция нуклеиновых кислот&quot; (утв. и введен в действие Приказом Росстандарта от 19.11.2014 N 1656-ст) {КонсультантПлюс}">
        <w:r>
          <w:rPr>
            <w:sz w:val="20"/>
            <w:color w:val="0000ff"/>
          </w:rPr>
          <w:t xml:space="preserve">ГОСТ Р ИСО 21571-2014</w:t>
        </w:r>
      </w:hyperlink>
      <w:r>
        <w:rPr>
          <w:sz w:val="20"/>
        </w:rPr>
        <w:t xml:space="preserve"> "Продукты пищевые. Методы анализа для обнаружения генетически модифицированных организмов и полученных из них продуктов. Экстракция нуклеиновых кислот".</w:t>
      </w:r>
    </w:p>
    <w:p>
      <w:pPr>
        <w:pStyle w:val="0"/>
        <w:jc w:val="both"/>
      </w:pPr>
      <w:r>
        <w:rPr>
          <w:sz w:val="20"/>
        </w:rPr>
      </w:r>
    </w:p>
    <w:p>
      <w:pPr>
        <w:pStyle w:val="0"/>
        <w:ind w:firstLine="540"/>
        <w:jc w:val="both"/>
      </w:pPr>
      <w:hyperlink w:history="0" r:id="rId24"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26927-86</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25"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26929-94</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26"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26930-86</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27"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26932-86</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28"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26933-86</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29"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30" w:tooltip="&quot;ГОСТ 27676-88. Государственный стандарт Союза ССР. Зерно и продукты его переработки. Метод определения числа падения&quot; (утв. и введен в действие Постановлением Госстандарта СССР от 31.03.1988 N 963) (ред. от 01.10.1994) {КонсультантПлюс}">
        <w:r>
          <w:rPr>
            <w:sz w:val="20"/>
            <w:color w:val="0000ff"/>
          </w:rPr>
          <w:t xml:space="preserve">ГОСТ 27676-88</w:t>
        </w:r>
      </w:hyperlink>
      <w:r>
        <w:rPr>
          <w:sz w:val="20"/>
        </w:rPr>
        <w:t xml:space="preserve"> Зерно и продукты его переработки. Метод определения числа падения</w:t>
      </w:r>
    </w:p>
    <w:p>
      <w:pPr>
        <w:pStyle w:val="0"/>
        <w:spacing w:before="200" w:line-rule="auto"/>
        <w:ind w:firstLine="540"/>
        <w:jc w:val="both"/>
      </w:pPr>
      <w:hyperlink w:history="0" r:id="rId31"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28001-88</w:t>
        </w:r>
      </w:hyperlink>
      <w:r>
        <w:rPr>
          <w:sz w:val="20"/>
        </w:rPr>
        <w:t xml:space="preserve"> Зерно фуражное, продукты его переработки, комбикорма. Методы определения микотоксинов: Т-2 токсина, зеараленона (Ф-2) и охратоксина А</w:t>
      </w:r>
    </w:p>
    <w:p>
      <w:pPr>
        <w:pStyle w:val="0"/>
        <w:spacing w:before="200" w:line-rule="auto"/>
        <w:ind w:firstLine="540"/>
        <w:jc w:val="both"/>
      </w:pPr>
      <w:hyperlink w:history="0" r:id="rId32"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30178-96</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33"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30483-97</w:t>
        </w:r>
      </w:hyperlink>
      <w:r>
        <w:rPr>
          <w:sz w:val="20"/>
        </w:rPr>
        <w:t xml:space="preserve">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p>
      <w:pPr>
        <w:pStyle w:val="0"/>
        <w:spacing w:before="200" w:line-rule="auto"/>
        <w:ind w:firstLine="540"/>
        <w:jc w:val="both"/>
      </w:pPr>
      <w:hyperlink w:history="0" r:id="rId34" w:tooltip="&quot;ГОСТ 30498-97 (ИСО 3093-82). Межгосударственный стандарт. Зерновые культуры. Определение числа падения&quot; (введен в действие Постановлением Госстандарта России от 22.09.1997 N 331) ------------ Утратил силу или отменен {КонсультантПлюс}">
        <w:r>
          <w:rPr>
            <w:sz w:val="20"/>
            <w:color w:val="0000ff"/>
          </w:rPr>
          <w:t xml:space="preserve">ГОСТ 30498-97</w:t>
        </w:r>
      </w:hyperlink>
      <w:r>
        <w:rPr>
          <w:sz w:val="20"/>
        </w:rPr>
        <w:t xml:space="preserve"> (ИСО 3093-82) Зерновые культуры. Определение числа падения</w:t>
      </w:r>
    </w:p>
    <w:p>
      <w:pPr>
        <w:pStyle w:val="0"/>
        <w:spacing w:before="200" w:line-rule="auto"/>
        <w:ind w:firstLine="540"/>
        <w:jc w:val="both"/>
      </w:pPr>
      <w:hyperlink w:history="0" r:id="rId35"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30538-97</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36"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30711-2001</w:t>
        </w:r>
      </w:hyperlink>
      <w:r>
        <w:rPr>
          <w:sz w:val="20"/>
        </w:rPr>
        <w:t xml:space="preserve"> Продукты пищевые. Методы выявления и определения содержания афлатоксинов B</w:t>
      </w:r>
      <w:r>
        <w:rPr>
          <w:sz w:val="20"/>
          <w:vertAlign w:val="subscript"/>
        </w:rPr>
        <w:t xml:space="preserve">1</w:t>
      </w:r>
      <w:r>
        <w:rPr>
          <w:sz w:val="20"/>
        </w:rPr>
        <w:t xml:space="preserve"> и M</w:t>
      </w:r>
      <w:r>
        <w:rPr>
          <w:sz w:val="20"/>
          <w:vertAlign w:val="subscript"/>
        </w:rPr>
        <w:t xml:space="preserve">1</w:t>
      </w:r>
    </w:p>
    <w:p>
      <w:pPr>
        <w:pStyle w:val="0"/>
        <w:spacing w:before="200" w:line-rule="auto"/>
        <w:ind w:firstLine="540"/>
        <w:jc w:val="both"/>
      </w:pPr>
      <w:hyperlink w:history="0" r:id="rId37"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31481-2012</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38"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31628-2012</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39"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31650-2012</w:t>
        </w:r>
      </w:hyperlink>
      <w:r>
        <w:rPr>
          <w:sz w:val="20"/>
        </w:rPr>
        <w:t xml:space="preserve"> Средства лекарственные для животных, корма и кормовые добавки. Определение массовой доли ртути методом атомно-абсорбционной спектрометрии</w:t>
      </w:r>
    </w:p>
    <w:p>
      <w:pPr>
        <w:pStyle w:val="0"/>
        <w:spacing w:before="200" w:line-rule="auto"/>
        <w:ind w:firstLine="540"/>
        <w:jc w:val="both"/>
      </w:pPr>
      <w:hyperlink w:history="0" r:id="rId40"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31653-2012</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41"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31671-2012</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42"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31691-2012</w:t>
        </w:r>
      </w:hyperlink>
      <w:r>
        <w:rPr>
          <w:sz w:val="20"/>
        </w:rPr>
        <w:t xml:space="preserve"> Зерно и продукты его переработки, комбикорма.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43"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31707-2012</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44"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31748-2012</w:t>
        </w:r>
      </w:hyperlink>
      <w:r>
        <w:rPr>
          <w:sz w:val="20"/>
        </w:rPr>
        <w:t xml:space="preserve"> (ISO 16050:2003) Продукты пищевые. Определение афлатоксина B</w:t>
      </w:r>
      <w:r>
        <w:rPr>
          <w:sz w:val="20"/>
          <w:vertAlign w:val="subscript"/>
        </w:rPr>
        <w:t xml:space="preserve">1</w:t>
      </w:r>
      <w:r>
        <w:rPr>
          <w:sz w:val="20"/>
        </w:rPr>
        <w:t xml:space="preserve"> и общего содержания афлатоксинов B</w:t>
      </w:r>
      <w:r>
        <w:rPr>
          <w:sz w:val="20"/>
          <w:vertAlign w:val="subscript"/>
        </w:rPr>
        <w:t xml:space="preserve">1</w:t>
      </w:r>
      <w:r>
        <w:rPr>
          <w:sz w:val="20"/>
        </w:rPr>
        <w:t xml:space="preserve">, B</w:t>
      </w:r>
      <w:r>
        <w:rPr>
          <w:sz w:val="20"/>
          <w:vertAlign w:val="subscript"/>
        </w:rPr>
        <w:t xml:space="preserve">2</w:t>
      </w:r>
      <w:r>
        <w:rPr>
          <w:sz w:val="20"/>
        </w:rPr>
        <w:t xml:space="preserve">, G</w:t>
      </w:r>
      <w:r>
        <w:rPr>
          <w:sz w:val="20"/>
          <w:vertAlign w:val="subscript"/>
        </w:rPr>
        <w:t xml:space="preserve">1</w:t>
      </w:r>
      <w:r>
        <w:rPr>
          <w:sz w:val="20"/>
        </w:rPr>
        <w:t xml:space="preserve"> и G</w:t>
      </w:r>
      <w:r>
        <w:rPr>
          <w:sz w:val="20"/>
          <w:vertAlign w:val="subscript"/>
        </w:rPr>
        <w:t xml:space="preserve">2</w:t>
      </w:r>
      <w:r>
        <w:rPr>
          <w:sz w:val="20"/>
        </w:rPr>
        <w:t xml:space="preserve">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45"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32161-2013</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46"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32163-2013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47"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32164-2013</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48"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32587-2013</w:t>
        </w:r>
      </w:hyperlink>
      <w:r>
        <w:rPr>
          <w:sz w:val="20"/>
        </w:rPr>
        <w:t xml:space="preserve"> Зерно и продукты его переработки, комбикорма. Определение охратоксина А методом высокоэффективной жидкостной хроматографии</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pPr>
        <w:pStyle w:val="0"/>
        <w:jc w:val="both"/>
      </w:pPr>
      <w:r>
        <w:rPr>
          <w:sz w:val="20"/>
        </w:rPr>
      </w:r>
    </w:p>
    <w:p>
      <w:pPr>
        <w:pStyle w:val="0"/>
        <w:outlineLvl w:val="1"/>
        <w:ind w:firstLine="540"/>
        <w:jc w:val="both"/>
      </w:pPr>
      <w:r>
        <w:rPr>
          <w:sz w:val="20"/>
        </w:rPr>
        <w:t xml:space="preserve">3. Термины и определения</w:t>
      </w:r>
    </w:p>
    <w:p>
      <w:pPr>
        <w:pStyle w:val="0"/>
        <w:jc w:val="both"/>
      </w:pPr>
      <w:r>
        <w:rPr>
          <w:sz w:val="20"/>
        </w:rPr>
      </w:r>
    </w:p>
    <w:p>
      <w:pPr>
        <w:pStyle w:val="0"/>
        <w:ind w:firstLine="540"/>
        <w:jc w:val="both"/>
      </w:pPr>
      <w:r>
        <w:rPr>
          <w:sz w:val="20"/>
        </w:rPr>
        <w:t xml:space="preserve">В настоящем стандарте применены термины по </w:t>
      </w:r>
      <w:hyperlink w:history="0" r:id="rId49"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w:t>
      </w:r>
      <w:hyperlink w:history="0" w:anchor="P303" w:tooltip="[1]">
        <w:r>
          <w:rPr>
            <w:sz w:val="20"/>
            <w:color w:val="0000ff"/>
          </w:rPr>
          <w:t xml:space="preserve">[1]</w:t>
        </w:r>
      </w:hyperlink>
      <w:r>
        <w:rPr>
          <w:sz w:val="20"/>
        </w:rPr>
        <w:t xml:space="preserve">.</w:t>
      </w:r>
    </w:p>
    <w:p>
      <w:pPr>
        <w:pStyle w:val="0"/>
        <w:jc w:val="both"/>
      </w:pPr>
      <w:r>
        <w:rPr>
          <w:sz w:val="20"/>
        </w:rPr>
      </w:r>
    </w:p>
    <w:p>
      <w:pPr>
        <w:pStyle w:val="0"/>
        <w:outlineLvl w:val="1"/>
        <w:ind w:firstLine="540"/>
        <w:jc w:val="both"/>
      </w:pPr>
      <w:r>
        <w:rPr>
          <w:sz w:val="20"/>
        </w:rPr>
        <w:t xml:space="preserve">4. Технические требования</w:t>
      </w:r>
    </w:p>
    <w:p>
      <w:pPr>
        <w:pStyle w:val="0"/>
        <w:jc w:val="both"/>
      </w:pPr>
      <w:r>
        <w:rPr>
          <w:sz w:val="20"/>
        </w:rPr>
      </w:r>
    </w:p>
    <w:p>
      <w:pPr>
        <w:pStyle w:val="0"/>
        <w:ind w:firstLine="540"/>
        <w:jc w:val="both"/>
      </w:pPr>
      <w:r>
        <w:rPr>
          <w:sz w:val="20"/>
        </w:rPr>
        <w:t xml:space="preserve">4.1 Рожь в зависимости от качества зерна подразделяют на классы в соответствии с требованиями, указанными в таблице 1.</w:t>
      </w:r>
    </w:p>
    <w:p>
      <w:pPr>
        <w:pStyle w:val="0"/>
        <w:jc w:val="both"/>
      </w:pPr>
      <w:r>
        <w:rPr>
          <w:sz w:val="20"/>
        </w:rPr>
      </w:r>
    </w:p>
    <w:bookmarkStart w:id="123" w:name="P123"/>
    <w:bookmarkEnd w:id="123"/>
    <w:p>
      <w:pPr>
        <w:pStyle w:val="0"/>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282"/>
        <w:gridCol w:w="1282"/>
        <w:gridCol w:w="1283"/>
        <w:gridCol w:w="2211"/>
      </w:tblGrid>
      <w:tr>
        <w:tc>
          <w:tcPr>
            <w:tcW w:w="3005" w:type="dxa"/>
            <w:vAlign w:val="center"/>
            <w:vMerge w:val="restart"/>
          </w:tcPr>
          <w:p>
            <w:pPr>
              <w:pStyle w:val="0"/>
              <w:jc w:val="center"/>
            </w:pPr>
            <w:r>
              <w:rPr>
                <w:sz w:val="20"/>
              </w:rPr>
              <w:t xml:space="preserve">Наименование показателя</w:t>
            </w:r>
          </w:p>
        </w:tc>
        <w:tc>
          <w:tcPr>
            <w:gridSpan w:val="4"/>
            <w:tcW w:w="6058" w:type="dxa"/>
            <w:vAlign w:val="center"/>
          </w:tcPr>
          <w:p>
            <w:pPr>
              <w:pStyle w:val="0"/>
              <w:jc w:val="center"/>
            </w:pPr>
            <w:r>
              <w:rPr>
                <w:sz w:val="20"/>
              </w:rPr>
              <w:t xml:space="preserve">Характеристика и ограничительная норма для ржи класса</w:t>
            </w:r>
          </w:p>
        </w:tc>
      </w:tr>
      <w:tr>
        <w:tc>
          <w:tcPr>
            <w:vMerge w:val="continue"/>
          </w:tcPr>
          <w:p/>
        </w:tc>
        <w:tc>
          <w:tcPr>
            <w:tcW w:w="1282" w:type="dxa"/>
            <w:vAlign w:val="center"/>
          </w:tcPr>
          <w:p>
            <w:pPr>
              <w:pStyle w:val="0"/>
              <w:jc w:val="center"/>
            </w:pPr>
            <w:r>
              <w:rPr>
                <w:sz w:val="20"/>
              </w:rPr>
              <w:t xml:space="preserve">1-го</w:t>
            </w:r>
          </w:p>
        </w:tc>
        <w:tc>
          <w:tcPr>
            <w:tcW w:w="1282" w:type="dxa"/>
            <w:vAlign w:val="center"/>
          </w:tcPr>
          <w:p>
            <w:pPr>
              <w:pStyle w:val="0"/>
              <w:jc w:val="center"/>
            </w:pPr>
            <w:r>
              <w:rPr>
                <w:sz w:val="20"/>
              </w:rPr>
              <w:t xml:space="preserve">2-го</w:t>
            </w:r>
          </w:p>
        </w:tc>
        <w:tc>
          <w:tcPr>
            <w:tcW w:w="1283" w:type="dxa"/>
            <w:vAlign w:val="center"/>
          </w:tcPr>
          <w:p>
            <w:pPr>
              <w:pStyle w:val="0"/>
              <w:jc w:val="center"/>
            </w:pPr>
            <w:r>
              <w:rPr>
                <w:sz w:val="20"/>
              </w:rPr>
              <w:t xml:space="preserve">3-го</w:t>
            </w:r>
          </w:p>
        </w:tc>
        <w:tc>
          <w:tcPr>
            <w:tcW w:w="2211" w:type="dxa"/>
            <w:vAlign w:val="center"/>
          </w:tcPr>
          <w:p>
            <w:pPr>
              <w:pStyle w:val="0"/>
              <w:jc w:val="center"/>
            </w:pPr>
            <w:r>
              <w:rPr>
                <w:sz w:val="20"/>
              </w:rPr>
              <w:t xml:space="preserve">4-го</w:t>
            </w:r>
          </w:p>
        </w:tc>
      </w:tr>
      <w:tr>
        <w:tc>
          <w:tcPr>
            <w:tcW w:w="3005" w:type="dxa"/>
          </w:tcPr>
          <w:p>
            <w:pPr>
              <w:pStyle w:val="0"/>
            </w:pPr>
            <w:r>
              <w:rPr>
                <w:sz w:val="20"/>
              </w:rPr>
              <w:t xml:space="preserve">Состояние</w:t>
            </w:r>
          </w:p>
        </w:tc>
        <w:tc>
          <w:tcPr>
            <w:gridSpan w:val="4"/>
            <w:tcW w:w="6058" w:type="dxa"/>
            <w:vAlign w:val="bottom"/>
          </w:tcPr>
          <w:p>
            <w:pPr>
              <w:pStyle w:val="0"/>
              <w:jc w:val="center"/>
            </w:pPr>
            <w:r>
              <w:rPr>
                <w:sz w:val="20"/>
              </w:rPr>
              <w:t xml:space="preserve">В здоровом, негреющемся состоянии</w:t>
            </w:r>
          </w:p>
        </w:tc>
      </w:tr>
      <w:tr>
        <w:tc>
          <w:tcPr>
            <w:tcW w:w="3005" w:type="dxa"/>
          </w:tcPr>
          <w:p>
            <w:pPr>
              <w:pStyle w:val="0"/>
            </w:pPr>
            <w:r>
              <w:rPr>
                <w:sz w:val="20"/>
              </w:rPr>
              <w:t xml:space="preserve">Цвет </w:t>
            </w:r>
            <w:hyperlink w:history="0" w:anchor="P187" w:tooltip="&lt;*&gt; Допускается наличие розовой окраски внутри оболочки зерна. Такие зерновки имеют форму, размер, блеск, выполненность и структуру эндосперма, свойственные здоровому зерну.">
              <w:r>
                <w:rPr>
                  <w:sz w:val="20"/>
                  <w:color w:val="0000ff"/>
                </w:rPr>
                <w:t xml:space="preserve">&lt;*&gt;</w:t>
              </w:r>
            </w:hyperlink>
          </w:p>
        </w:tc>
        <w:tc>
          <w:tcPr>
            <w:gridSpan w:val="4"/>
            <w:tcW w:w="6058" w:type="dxa"/>
            <w:vAlign w:val="bottom"/>
          </w:tcPr>
          <w:p>
            <w:pPr>
              <w:pStyle w:val="0"/>
              <w:jc w:val="center"/>
            </w:pPr>
            <w:r>
              <w:rPr>
                <w:sz w:val="20"/>
              </w:rPr>
              <w:t xml:space="preserve">Свойственный здоровому зерну ржи</w:t>
            </w:r>
          </w:p>
        </w:tc>
      </w:tr>
      <w:tr>
        <w:tc>
          <w:tcPr>
            <w:tcW w:w="3005" w:type="dxa"/>
          </w:tcPr>
          <w:p>
            <w:pPr>
              <w:pStyle w:val="0"/>
            </w:pPr>
            <w:r>
              <w:rPr>
                <w:sz w:val="20"/>
              </w:rPr>
              <w:t xml:space="preserve">Запах</w:t>
            </w:r>
          </w:p>
        </w:tc>
        <w:tc>
          <w:tcPr>
            <w:gridSpan w:val="4"/>
            <w:tcW w:w="6058" w:type="dxa"/>
            <w:vAlign w:val="bottom"/>
          </w:tcPr>
          <w:p>
            <w:pPr>
              <w:pStyle w:val="0"/>
              <w:jc w:val="center"/>
            </w:pPr>
            <w:r>
              <w:rPr>
                <w:sz w:val="20"/>
              </w:rPr>
              <w:t xml:space="preserve">Свойственный здоровому зерну ржи, без плесневого, солодового, затхлого и других посторонних запахов</w:t>
            </w:r>
          </w:p>
        </w:tc>
      </w:tr>
      <w:tr>
        <w:tc>
          <w:tcPr>
            <w:tcW w:w="3005" w:type="dxa"/>
          </w:tcPr>
          <w:p>
            <w:pPr>
              <w:pStyle w:val="0"/>
            </w:pPr>
            <w:r>
              <w:rPr>
                <w:sz w:val="20"/>
              </w:rPr>
              <w:t xml:space="preserve">Число падения, с</w:t>
            </w:r>
          </w:p>
        </w:tc>
        <w:tc>
          <w:tcPr>
            <w:tcW w:w="1282" w:type="dxa"/>
            <w:vAlign w:val="bottom"/>
          </w:tcPr>
          <w:p>
            <w:pPr>
              <w:pStyle w:val="0"/>
              <w:jc w:val="center"/>
            </w:pPr>
            <w:r>
              <w:rPr>
                <w:sz w:val="20"/>
              </w:rPr>
              <w:t xml:space="preserve">Более 200</w:t>
            </w:r>
          </w:p>
        </w:tc>
        <w:tc>
          <w:tcPr>
            <w:tcW w:w="1282" w:type="dxa"/>
            <w:vAlign w:val="bottom"/>
          </w:tcPr>
          <w:p>
            <w:pPr>
              <w:pStyle w:val="0"/>
              <w:jc w:val="center"/>
            </w:pPr>
            <w:r>
              <w:rPr>
                <w:sz w:val="20"/>
              </w:rPr>
              <w:t xml:space="preserve">141 - 200</w:t>
            </w:r>
          </w:p>
        </w:tc>
        <w:tc>
          <w:tcPr>
            <w:tcW w:w="1283" w:type="dxa"/>
            <w:vAlign w:val="bottom"/>
          </w:tcPr>
          <w:p>
            <w:pPr>
              <w:pStyle w:val="0"/>
              <w:jc w:val="center"/>
            </w:pPr>
            <w:r>
              <w:rPr>
                <w:sz w:val="20"/>
              </w:rPr>
              <w:t xml:space="preserve">80 - 140</w:t>
            </w:r>
          </w:p>
        </w:tc>
        <w:tc>
          <w:tcPr>
            <w:tcW w:w="2211" w:type="dxa"/>
            <w:vAlign w:val="bottom"/>
          </w:tcPr>
          <w:p>
            <w:pPr>
              <w:pStyle w:val="0"/>
              <w:jc w:val="center"/>
            </w:pPr>
            <w:r>
              <w:rPr>
                <w:sz w:val="20"/>
              </w:rPr>
              <w:t xml:space="preserve">Менее 80</w:t>
            </w:r>
          </w:p>
        </w:tc>
      </w:tr>
      <w:tr>
        <w:tc>
          <w:tcPr>
            <w:tcW w:w="3005" w:type="dxa"/>
          </w:tcPr>
          <w:p>
            <w:pPr>
              <w:pStyle w:val="0"/>
            </w:pPr>
            <w:r>
              <w:rPr>
                <w:sz w:val="20"/>
              </w:rPr>
              <w:t xml:space="preserve">Натура, г/дм</w:t>
            </w:r>
            <w:r>
              <w:rPr>
                <w:sz w:val="20"/>
                <w:vertAlign w:val="superscript"/>
              </w:rPr>
              <w:t xml:space="preserve">3</w:t>
            </w:r>
            <w:r>
              <w:rPr>
                <w:sz w:val="20"/>
              </w:rPr>
              <w:t xml:space="preserve">, не менее</w:t>
            </w:r>
          </w:p>
        </w:tc>
        <w:tc>
          <w:tcPr>
            <w:tcW w:w="1282" w:type="dxa"/>
            <w:vAlign w:val="bottom"/>
          </w:tcPr>
          <w:p>
            <w:pPr>
              <w:pStyle w:val="0"/>
              <w:jc w:val="center"/>
            </w:pPr>
            <w:r>
              <w:rPr>
                <w:sz w:val="20"/>
              </w:rPr>
              <w:t xml:space="preserve">700</w:t>
            </w:r>
          </w:p>
        </w:tc>
        <w:tc>
          <w:tcPr>
            <w:tcW w:w="1282" w:type="dxa"/>
            <w:vAlign w:val="bottom"/>
          </w:tcPr>
          <w:p>
            <w:pPr>
              <w:pStyle w:val="0"/>
              <w:jc w:val="center"/>
            </w:pPr>
            <w:r>
              <w:rPr>
                <w:sz w:val="20"/>
              </w:rPr>
              <w:t xml:space="preserve">680</w:t>
            </w:r>
          </w:p>
        </w:tc>
        <w:tc>
          <w:tcPr>
            <w:tcW w:w="1283" w:type="dxa"/>
            <w:vAlign w:val="bottom"/>
          </w:tcPr>
          <w:p>
            <w:pPr>
              <w:pStyle w:val="0"/>
              <w:jc w:val="center"/>
            </w:pPr>
            <w:r>
              <w:rPr>
                <w:sz w:val="20"/>
              </w:rPr>
              <w:t xml:space="preserve">640</w:t>
            </w:r>
          </w:p>
        </w:tc>
        <w:tc>
          <w:tcPr>
            <w:tcW w:w="2211" w:type="dxa"/>
            <w:vAlign w:val="bottom"/>
          </w:tcPr>
          <w:p>
            <w:pPr>
              <w:pStyle w:val="0"/>
              <w:jc w:val="center"/>
            </w:pPr>
            <w:r>
              <w:rPr>
                <w:sz w:val="20"/>
              </w:rPr>
              <w:t xml:space="preserve">Не ограничивается</w:t>
            </w:r>
          </w:p>
        </w:tc>
      </w:tr>
      <w:tr>
        <w:tc>
          <w:tcPr>
            <w:tcW w:w="3005" w:type="dxa"/>
          </w:tcPr>
          <w:p>
            <w:pPr>
              <w:pStyle w:val="0"/>
            </w:pPr>
            <w:r>
              <w:rPr>
                <w:sz w:val="20"/>
              </w:rPr>
              <w:t xml:space="preserve">Влажность, %, не более</w:t>
            </w:r>
          </w:p>
        </w:tc>
        <w:tc>
          <w:tcPr>
            <w:tcW w:w="1282" w:type="dxa"/>
            <w:vAlign w:val="bottom"/>
          </w:tcPr>
          <w:p>
            <w:pPr>
              <w:pStyle w:val="0"/>
              <w:jc w:val="center"/>
            </w:pPr>
            <w:r>
              <w:rPr>
                <w:sz w:val="20"/>
              </w:rPr>
              <w:t xml:space="preserve">14,0</w:t>
            </w:r>
          </w:p>
        </w:tc>
        <w:tc>
          <w:tcPr>
            <w:tcW w:w="1282" w:type="dxa"/>
            <w:vAlign w:val="bottom"/>
          </w:tcPr>
          <w:p>
            <w:pPr>
              <w:pStyle w:val="0"/>
              <w:jc w:val="center"/>
            </w:pPr>
            <w:r>
              <w:rPr>
                <w:sz w:val="20"/>
              </w:rPr>
              <w:t xml:space="preserve">14,0</w:t>
            </w:r>
          </w:p>
        </w:tc>
        <w:tc>
          <w:tcPr>
            <w:tcW w:w="1283" w:type="dxa"/>
            <w:vAlign w:val="bottom"/>
          </w:tcPr>
          <w:p>
            <w:pPr>
              <w:pStyle w:val="0"/>
              <w:jc w:val="center"/>
            </w:pPr>
            <w:r>
              <w:rPr>
                <w:sz w:val="20"/>
              </w:rPr>
              <w:t xml:space="preserve">14,0</w:t>
            </w:r>
          </w:p>
        </w:tc>
        <w:tc>
          <w:tcPr>
            <w:tcW w:w="2211" w:type="dxa"/>
            <w:vAlign w:val="bottom"/>
          </w:tcPr>
          <w:p>
            <w:pPr>
              <w:pStyle w:val="0"/>
              <w:jc w:val="center"/>
            </w:pPr>
            <w:r>
              <w:rPr>
                <w:sz w:val="20"/>
              </w:rPr>
              <w:t xml:space="preserve">14,0</w:t>
            </w:r>
          </w:p>
        </w:tc>
      </w:tr>
      <w:tr>
        <w:tc>
          <w:tcPr>
            <w:tcW w:w="3005" w:type="dxa"/>
          </w:tcPr>
          <w:p>
            <w:pPr>
              <w:pStyle w:val="0"/>
            </w:pPr>
            <w:r>
              <w:rPr>
                <w:sz w:val="20"/>
              </w:rPr>
              <w:t xml:space="preserve">Сорная примесь, %, не более:</w:t>
            </w:r>
          </w:p>
        </w:tc>
        <w:tc>
          <w:tcPr>
            <w:tcW w:w="1282" w:type="dxa"/>
            <w:vAlign w:val="bottom"/>
          </w:tcPr>
          <w:p>
            <w:pPr>
              <w:pStyle w:val="0"/>
              <w:jc w:val="center"/>
            </w:pPr>
            <w:r>
              <w:rPr>
                <w:sz w:val="20"/>
              </w:rPr>
              <w:t xml:space="preserve">2,0</w:t>
            </w:r>
          </w:p>
        </w:tc>
        <w:tc>
          <w:tcPr>
            <w:tcW w:w="1282" w:type="dxa"/>
            <w:vAlign w:val="bottom"/>
          </w:tcPr>
          <w:p>
            <w:pPr>
              <w:pStyle w:val="0"/>
              <w:jc w:val="center"/>
            </w:pPr>
            <w:r>
              <w:rPr>
                <w:sz w:val="20"/>
              </w:rPr>
              <w:t xml:space="preserve">2,0</w:t>
            </w:r>
          </w:p>
        </w:tc>
        <w:tc>
          <w:tcPr>
            <w:tcW w:w="1283" w:type="dxa"/>
            <w:vAlign w:val="bottom"/>
          </w:tcPr>
          <w:p>
            <w:pPr>
              <w:pStyle w:val="0"/>
              <w:jc w:val="center"/>
            </w:pPr>
            <w:r>
              <w:rPr>
                <w:sz w:val="20"/>
              </w:rPr>
              <w:t xml:space="preserve">2,0</w:t>
            </w:r>
          </w:p>
        </w:tc>
        <w:tc>
          <w:tcPr>
            <w:tcW w:w="2211" w:type="dxa"/>
            <w:vAlign w:val="bottom"/>
          </w:tcPr>
          <w:p>
            <w:pPr>
              <w:pStyle w:val="0"/>
              <w:jc w:val="center"/>
            </w:pPr>
            <w:r>
              <w:rPr>
                <w:sz w:val="20"/>
              </w:rPr>
              <w:t xml:space="preserve">5,0</w:t>
            </w:r>
          </w:p>
        </w:tc>
      </w:tr>
      <w:tr>
        <w:tblPrEx>
          <w:tblBorders>
            <w:insideH w:val="nil"/>
          </w:tblBorders>
        </w:tblPrEx>
        <w:tc>
          <w:tcPr>
            <w:tcW w:w="3005" w:type="dxa"/>
            <w:tcBorders>
              <w:bottom w:val="nil"/>
            </w:tcBorders>
          </w:tcPr>
          <w:p>
            <w:pPr>
              <w:pStyle w:val="0"/>
            </w:pPr>
            <w:r>
              <w:rPr>
                <w:sz w:val="20"/>
              </w:rPr>
              <w:t xml:space="preserve">в том числе:</w:t>
            </w:r>
          </w:p>
        </w:tc>
        <w:tc>
          <w:tcPr>
            <w:tcW w:w="1282" w:type="dxa"/>
            <w:vAlign w:val="bottom"/>
            <w:tcBorders>
              <w:bottom w:val="nil"/>
            </w:tcBorders>
          </w:tcPr>
          <w:p>
            <w:pPr>
              <w:pStyle w:val="0"/>
            </w:pPr>
            <w:r>
              <w:rPr>
                <w:sz w:val="20"/>
              </w:rPr>
            </w:r>
          </w:p>
        </w:tc>
        <w:tc>
          <w:tcPr>
            <w:tcW w:w="1282" w:type="dxa"/>
            <w:vAlign w:val="bottom"/>
            <w:tcBorders>
              <w:bottom w:val="nil"/>
            </w:tcBorders>
          </w:tcPr>
          <w:p>
            <w:pPr>
              <w:pStyle w:val="0"/>
            </w:pPr>
            <w:r>
              <w:rPr>
                <w:sz w:val="20"/>
              </w:rPr>
            </w:r>
          </w:p>
        </w:tc>
        <w:tc>
          <w:tcPr>
            <w:tcW w:w="1283" w:type="dxa"/>
            <w:vAlign w:val="bottom"/>
            <w:tcBorders>
              <w:bottom w:val="nil"/>
            </w:tcBorders>
          </w:tcPr>
          <w:p>
            <w:pPr>
              <w:pStyle w:val="0"/>
            </w:pPr>
            <w:r>
              <w:rPr>
                <w:sz w:val="20"/>
              </w:rPr>
            </w:r>
          </w:p>
        </w:tc>
        <w:tc>
          <w:tcPr>
            <w:tcW w:w="2211" w:type="dxa"/>
            <w:vAlign w:val="bottom"/>
            <w:tcBorders>
              <w:bottom w:val="nil"/>
            </w:tcBorders>
          </w:tcPr>
          <w:p>
            <w:pPr>
              <w:pStyle w:val="0"/>
            </w:pPr>
            <w:r>
              <w:rPr>
                <w:sz w:val="20"/>
              </w:rPr>
            </w:r>
          </w:p>
        </w:tc>
      </w:tr>
      <w:tr>
        <w:tblPrEx>
          <w:tblBorders>
            <w:insideH w:val="nil"/>
          </w:tblBorders>
        </w:tblPrEx>
        <w:tc>
          <w:tcPr>
            <w:tcW w:w="3005" w:type="dxa"/>
            <w:tcBorders>
              <w:top w:val="nil"/>
            </w:tcBorders>
          </w:tcPr>
          <w:p>
            <w:pPr>
              <w:pStyle w:val="0"/>
            </w:pPr>
            <w:r>
              <w:rPr>
                <w:sz w:val="20"/>
              </w:rPr>
              <w:t xml:space="preserve">минеральная примесь</w:t>
            </w:r>
          </w:p>
        </w:tc>
        <w:tc>
          <w:tcPr>
            <w:tcW w:w="1282" w:type="dxa"/>
            <w:tcBorders>
              <w:top w:val="nil"/>
            </w:tcBorders>
          </w:tcPr>
          <w:p>
            <w:pPr>
              <w:pStyle w:val="0"/>
              <w:jc w:val="center"/>
            </w:pPr>
            <w:r>
              <w:rPr>
                <w:sz w:val="20"/>
              </w:rPr>
              <w:t xml:space="preserve">0,3</w:t>
            </w:r>
          </w:p>
        </w:tc>
        <w:tc>
          <w:tcPr>
            <w:tcW w:w="1282" w:type="dxa"/>
            <w:tcBorders>
              <w:top w:val="nil"/>
            </w:tcBorders>
          </w:tcPr>
          <w:p>
            <w:pPr>
              <w:pStyle w:val="0"/>
              <w:jc w:val="center"/>
            </w:pPr>
            <w:r>
              <w:rPr>
                <w:sz w:val="20"/>
              </w:rPr>
              <w:t xml:space="preserve">0,3</w:t>
            </w:r>
          </w:p>
        </w:tc>
        <w:tc>
          <w:tcPr>
            <w:tcW w:w="1283" w:type="dxa"/>
            <w:tcBorders>
              <w:top w:val="nil"/>
            </w:tcBorders>
          </w:tcPr>
          <w:p>
            <w:pPr>
              <w:pStyle w:val="0"/>
              <w:jc w:val="center"/>
            </w:pPr>
            <w:r>
              <w:rPr>
                <w:sz w:val="20"/>
              </w:rPr>
              <w:t xml:space="preserve">0,3</w:t>
            </w:r>
          </w:p>
        </w:tc>
        <w:tc>
          <w:tcPr>
            <w:tcW w:w="2211" w:type="dxa"/>
            <w:tcBorders>
              <w:top w:val="nil"/>
            </w:tcBorders>
          </w:tcPr>
          <w:p>
            <w:pPr>
              <w:pStyle w:val="0"/>
              <w:jc w:val="center"/>
            </w:pPr>
            <w:r>
              <w:rPr>
                <w:sz w:val="20"/>
              </w:rPr>
              <w:t xml:space="preserve">1,0</w:t>
            </w:r>
          </w:p>
        </w:tc>
      </w:tr>
      <w:tr>
        <w:tc>
          <w:tcPr>
            <w:tcW w:w="3005" w:type="dxa"/>
          </w:tcPr>
          <w:p>
            <w:pPr>
              <w:pStyle w:val="0"/>
            </w:pPr>
            <w:r>
              <w:rPr>
                <w:sz w:val="20"/>
              </w:rPr>
              <w:t xml:space="preserve">в числе минеральной примеси галька</w:t>
            </w:r>
          </w:p>
        </w:tc>
        <w:tc>
          <w:tcPr>
            <w:tcW w:w="1282" w:type="dxa"/>
            <w:vAlign w:val="bottom"/>
          </w:tcPr>
          <w:p>
            <w:pPr>
              <w:pStyle w:val="0"/>
              <w:jc w:val="center"/>
            </w:pPr>
            <w:r>
              <w:rPr>
                <w:sz w:val="20"/>
              </w:rPr>
              <w:t xml:space="preserve">0,1</w:t>
            </w:r>
          </w:p>
        </w:tc>
        <w:tc>
          <w:tcPr>
            <w:tcW w:w="1282" w:type="dxa"/>
            <w:vAlign w:val="bottom"/>
          </w:tcPr>
          <w:p>
            <w:pPr>
              <w:pStyle w:val="0"/>
              <w:jc w:val="center"/>
            </w:pPr>
            <w:r>
              <w:rPr>
                <w:sz w:val="20"/>
              </w:rPr>
              <w:t xml:space="preserve">0,1</w:t>
            </w:r>
          </w:p>
        </w:tc>
        <w:tc>
          <w:tcPr>
            <w:tcW w:w="1283" w:type="dxa"/>
            <w:vAlign w:val="bottom"/>
          </w:tcPr>
          <w:p>
            <w:pPr>
              <w:pStyle w:val="0"/>
              <w:jc w:val="center"/>
            </w:pPr>
            <w:r>
              <w:rPr>
                <w:sz w:val="20"/>
              </w:rPr>
              <w:t xml:space="preserve">0,1</w:t>
            </w:r>
          </w:p>
        </w:tc>
        <w:tc>
          <w:tcPr>
            <w:tcW w:w="2211" w:type="dxa"/>
            <w:vAlign w:val="bottom"/>
          </w:tcPr>
          <w:p>
            <w:pPr>
              <w:pStyle w:val="0"/>
              <w:jc w:val="center"/>
            </w:pPr>
            <w:r>
              <w:rPr>
                <w:sz w:val="20"/>
              </w:rPr>
              <w:t xml:space="preserve">0,2</w:t>
            </w:r>
          </w:p>
        </w:tc>
      </w:tr>
      <w:tr>
        <w:tc>
          <w:tcPr>
            <w:tcW w:w="3005" w:type="dxa"/>
          </w:tcPr>
          <w:p>
            <w:pPr>
              <w:pStyle w:val="0"/>
            </w:pPr>
            <w:r>
              <w:rPr>
                <w:sz w:val="20"/>
              </w:rPr>
              <w:t xml:space="preserve">испорченные зерна</w:t>
            </w:r>
          </w:p>
        </w:tc>
        <w:tc>
          <w:tcPr>
            <w:tcW w:w="1282" w:type="dxa"/>
          </w:tcPr>
          <w:p>
            <w:pPr>
              <w:pStyle w:val="0"/>
              <w:jc w:val="center"/>
            </w:pPr>
            <w:r>
              <w:rPr>
                <w:sz w:val="20"/>
              </w:rPr>
              <w:t xml:space="preserve">1,0</w:t>
            </w:r>
          </w:p>
        </w:tc>
        <w:tc>
          <w:tcPr>
            <w:tcW w:w="1282" w:type="dxa"/>
          </w:tcPr>
          <w:p>
            <w:pPr>
              <w:pStyle w:val="0"/>
              <w:jc w:val="center"/>
            </w:pPr>
            <w:r>
              <w:rPr>
                <w:sz w:val="20"/>
              </w:rPr>
              <w:t xml:space="preserve">1,0</w:t>
            </w:r>
          </w:p>
        </w:tc>
        <w:tc>
          <w:tcPr>
            <w:tcW w:w="1283" w:type="dxa"/>
          </w:tcPr>
          <w:p>
            <w:pPr>
              <w:pStyle w:val="0"/>
              <w:jc w:val="center"/>
            </w:pPr>
            <w:r>
              <w:rPr>
                <w:sz w:val="20"/>
              </w:rPr>
              <w:t xml:space="preserve">1,0</w:t>
            </w:r>
          </w:p>
        </w:tc>
        <w:tc>
          <w:tcPr>
            <w:tcW w:w="2211" w:type="dxa"/>
          </w:tcPr>
          <w:p>
            <w:pPr>
              <w:pStyle w:val="0"/>
              <w:jc w:val="center"/>
            </w:pPr>
            <w:r>
              <w:rPr>
                <w:sz w:val="20"/>
              </w:rPr>
              <w:t xml:space="preserve">В пределах нормы общего содержания сорной примеси</w:t>
            </w:r>
          </w:p>
        </w:tc>
      </w:tr>
      <w:tr>
        <w:tc>
          <w:tcPr>
            <w:tcW w:w="3005" w:type="dxa"/>
          </w:tcPr>
          <w:p>
            <w:pPr>
              <w:pStyle w:val="0"/>
            </w:pPr>
            <w:r>
              <w:rPr>
                <w:sz w:val="20"/>
              </w:rPr>
              <w:t xml:space="preserve">куколь</w:t>
            </w:r>
          </w:p>
        </w:tc>
        <w:tc>
          <w:tcPr>
            <w:tcW w:w="1282" w:type="dxa"/>
            <w:vAlign w:val="bottom"/>
          </w:tcPr>
          <w:p>
            <w:pPr>
              <w:pStyle w:val="0"/>
              <w:jc w:val="center"/>
            </w:pPr>
            <w:r>
              <w:rPr>
                <w:sz w:val="20"/>
              </w:rPr>
              <w:t xml:space="preserve">0,5</w:t>
            </w:r>
          </w:p>
        </w:tc>
        <w:tc>
          <w:tcPr>
            <w:tcW w:w="1282" w:type="dxa"/>
            <w:vAlign w:val="bottom"/>
          </w:tcPr>
          <w:p>
            <w:pPr>
              <w:pStyle w:val="0"/>
              <w:jc w:val="center"/>
            </w:pPr>
            <w:r>
              <w:rPr>
                <w:sz w:val="20"/>
              </w:rPr>
              <w:t xml:space="preserve">0,5</w:t>
            </w:r>
          </w:p>
        </w:tc>
        <w:tc>
          <w:tcPr>
            <w:tcW w:w="1283" w:type="dxa"/>
            <w:vAlign w:val="bottom"/>
          </w:tcPr>
          <w:p>
            <w:pPr>
              <w:pStyle w:val="0"/>
              <w:jc w:val="center"/>
            </w:pPr>
            <w:r>
              <w:rPr>
                <w:sz w:val="20"/>
              </w:rPr>
              <w:t xml:space="preserve">0,5</w:t>
            </w:r>
          </w:p>
        </w:tc>
        <w:tc>
          <w:tcPr>
            <w:tcW w:w="2211" w:type="dxa"/>
            <w:vAlign w:val="bottom"/>
          </w:tcPr>
          <w:p>
            <w:pPr>
              <w:pStyle w:val="0"/>
              <w:jc w:val="center"/>
            </w:pPr>
            <w:r>
              <w:rPr>
                <w:sz w:val="20"/>
              </w:rPr>
              <w:t xml:space="preserve">0,5</w:t>
            </w:r>
          </w:p>
        </w:tc>
      </w:tr>
      <w:tr>
        <w:tc>
          <w:tcPr>
            <w:tcW w:w="3005" w:type="dxa"/>
          </w:tcPr>
          <w:p>
            <w:pPr>
              <w:pStyle w:val="0"/>
              <w:ind w:firstLine="283"/>
            </w:pPr>
            <w:r>
              <w:rPr>
                <w:sz w:val="20"/>
              </w:rPr>
              <w:t xml:space="preserve">Зерновая примесь, %, не более</w:t>
            </w:r>
          </w:p>
        </w:tc>
        <w:tc>
          <w:tcPr>
            <w:tcW w:w="1282" w:type="dxa"/>
            <w:vAlign w:val="bottom"/>
          </w:tcPr>
          <w:p>
            <w:pPr>
              <w:pStyle w:val="0"/>
              <w:jc w:val="center"/>
            </w:pPr>
            <w:r>
              <w:rPr>
                <w:sz w:val="20"/>
              </w:rPr>
              <w:t xml:space="preserve">4,0</w:t>
            </w:r>
          </w:p>
        </w:tc>
        <w:tc>
          <w:tcPr>
            <w:tcW w:w="1282" w:type="dxa"/>
            <w:vAlign w:val="bottom"/>
          </w:tcPr>
          <w:p>
            <w:pPr>
              <w:pStyle w:val="0"/>
              <w:jc w:val="center"/>
            </w:pPr>
            <w:r>
              <w:rPr>
                <w:sz w:val="20"/>
              </w:rPr>
              <w:t xml:space="preserve">4,0</w:t>
            </w:r>
          </w:p>
        </w:tc>
        <w:tc>
          <w:tcPr>
            <w:tcW w:w="1283" w:type="dxa"/>
            <w:vAlign w:val="bottom"/>
          </w:tcPr>
          <w:p>
            <w:pPr>
              <w:pStyle w:val="0"/>
              <w:jc w:val="center"/>
            </w:pPr>
            <w:r>
              <w:rPr>
                <w:sz w:val="20"/>
              </w:rPr>
              <w:t xml:space="preserve">4,0</w:t>
            </w:r>
          </w:p>
        </w:tc>
        <w:tc>
          <w:tcPr>
            <w:tcW w:w="2211" w:type="dxa"/>
            <w:vAlign w:val="bottom"/>
          </w:tcPr>
          <w:p>
            <w:pPr>
              <w:pStyle w:val="0"/>
              <w:jc w:val="center"/>
            </w:pPr>
            <w:r>
              <w:rPr>
                <w:sz w:val="20"/>
              </w:rPr>
              <w:t xml:space="preserve">15,0</w:t>
            </w:r>
          </w:p>
        </w:tc>
      </w:tr>
      <w:tr>
        <w:tc>
          <w:tcPr>
            <w:gridSpan w:val="5"/>
            <w:tcW w:w="9063" w:type="dxa"/>
            <w:vAlign w:val="bottom"/>
          </w:tcPr>
          <w:bookmarkStart w:id="187" w:name="P187"/>
          <w:bookmarkEnd w:id="187"/>
          <w:p>
            <w:pPr>
              <w:pStyle w:val="0"/>
              <w:jc w:val="both"/>
            </w:pPr>
            <w:r>
              <w:rPr>
                <w:sz w:val="20"/>
              </w:rPr>
              <w:t xml:space="preserve">&lt;*&gt; Допускается наличие розовой окраски внутри оболочки зерна. Такие зерновки имеют форму, размер, блеск, выполненность и структуру эндосперма, свойственные здоровому зерну.</w:t>
            </w:r>
          </w:p>
        </w:tc>
      </w:tr>
    </w:tbl>
    <w:p>
      <w:pPr>
        <w:pStyle w:val="0"/>
        <w:jc w:val="both"/>
      </w:pPr>
      <w:r>
        <w:rPr>
          <w:sz w:val="20"/>
        </w:rPr>
      </w:r>
    </w:p>
    <w:p>
      <w:pPr>
        <w:pStyle w:val="0"/>
        <w:ind w:firstLine="540"/>
        <w:jc w:val="both"/>
      </w:pPr>
      <w:r>
        <w:rPr>
          <w:sz w:val="20"/>
        </w:rPr>
        <w:t xml:space="preserve">4.2 Содержание токсичных элементов, микотоксинов, бенз(а)пирена, пестицидов, радионуклидов, вредных примесей, генно-модифицированных организмов (далее - ГМО), фузариозных зерен, зараженность вредителями и загрязненность мертвыми насекомыми-вредителями, в зерне ржи не должно превышать допустимые уровни, установленные </w:t>
      </w:r>
      <w:hyperlink w:history="0" w:anchor="P303" w:tooltip="[1]">
        <w:r>
          <w:rPr>
            <w:sz w:val="20"/>
            <w:color w:val="0000ff"/>
          </w:rPr>
          <w:t xml:space="preserve">[1]</w:t>
        </w:r>
      </w:hyperlink>
      <w:r>
        <w:rPr>
          <w:sz w:val="20"/>
        </w:rPr>
        <w:t xml:space="preserve"> или нормативными правовыми актами, действующими на территории государства, принявшего стандарт.</w:t>
      </w:r>
    </w:p>
    <w:p>
      <w:pPr>
        <w:pStyle w:val="0"/>
        <w:spacing w:before="200" w:line-rule="auto"/>
        <w:ind w:firstLine="540"/>
        <w:jc w:val="both"/>
      </w:pPr>
      <w:r>
        <w:rPr>
          <w:sz w:val="20"/>
        </w:rPr>
        <w:t xml:space="preserve">4.3 Состав основного зерна, сорной и зерновой примесей</w:t>
      </w:r>
    </w:p>
    <w:p>
      <w:pPr>
        <w:pStyle w:val="0"/>
        <w:spacing w:before="200" w:line-rule="auto"/>
        <w:ind w:firstLine="540"/>
        <w:jc w:val="both"/>
      </w:pPr>
      <w:r>
        <w:rPr>
          <w:sz w:val="20"/>
        </w:rPr>
        <w:t xml:space="preserve">4.3.1 К основному зерну относят:</w:t>
      </w:r>
    </w:p>
    <w:p>
      <w:pPr>
        <w:pStyle w:val="0"/>
        <w:spacing w:before="200" w:line-rule="auto"/>
        <w:ind w:firstLine="540"/>
        <w:jc w:val="both"/>
      </w:pPr>
      <w:r>
        <w:rPr>
          <w:sz w:val="20"/>
        </w:rPr>
        <w:t xml:space="preserve">- целые и поврежденные зерна ржи, по характеру их повреждений не относящиеся к сорной и зерновой примесям;</w:t>
      </w:r>
    </w:p>
    <w:p>
      <w:pPr>
        <w:pStyle w:val="0"/>
        <w:spacing w:before="200" w:line-rule="auto"/>
        <w:ind w:firstLine="540"/>
        <w:jc w:val="both"/>
      </w:pPr>
      <w:r>
        <w:rPr>
          <w:sz w:val="20"/>
        </w:rPr>
        <w:t xml:space="preserve">- 50% массы битых и изъеденных зерен ржи, независимо от характера и размера их повреждения.</w:t>
      </w:r>
    </w:p>
    <w:p>
      <w:pPr>
        <w:pStyle w:val="0"/>
        <w:spacing w:before="200" w:line-rule="auto"/>
        <w:ind w:firstLine="540"/>
        <w:jc w:val="both"/>
      </w:pPr>
      <w:r>
        <w:rPr>
          <w:sz w:val="20"/>
        </w:rPr>
        <w:t xml:space="preserve">- в зерне ржи 4-го класса - зерна и семена других зерновых и зернобобовых культур, не отнесенные согласно стандартам на эти культуры по характеру их повреждений к сорной и зерновой примесям.</w:t>
      </w:r>
    </w:p>
    <w:p>
      <w:pPr>
        <w:pStyle w:val="0"/>
        <w:spacing w:before="200" w:line-rule="auto"/>
        <w:ind w:firstLine="540"/>
        <w:jc w:val="both"/>
      </w:pPr>
      <w:r>
        <w:rPr>
          <w:sz w:val="20"/>
        </w:rPr>
        <w:t xml:space="preserve">4.3.2 К сорной примеси относят:</w:t>
      </w:r>
    </w:p>
    <w:p>
      <w:pPr>
        <w:pStyle w:val="0"/>
        <w:spacing w:before="200" w:line-rule="auto"/>
        <w:ind w:firstLine="540"/>
        <w:jc w:val="both"/>
      </w:pPr>
      <w:r>
        <w:rPr>
          <w:sz w:val="20"/>
        </w:rPr>
        <w:t xml:space="preserve">- весь проход через сито с отверстиями диаметром 1,0 мм;</w:t>
      </w:r>
    </w:p>
    <w:p>
      <w:pPr>
        <w:pStyle w:val="0"/>
        <w:spacing w:before="200" w:line-rule="auto"/>
        <w:ind w:firstLine="540"/>
        <w:jc w:val="both"/>
      </w:pPr>
      <w:r>
        <w:rPr>
          <w:sz w:val="20"/>
        </w:rPr>
        <w:t xml:space="preserve">- в остатке на сите с отверстиями диаметром 1,0 мм;</w:t>
      </w:r>
    </w:p>
    <w:p>
      <w:pPr>
        <w:pStyle w:val="0"/>
        <w:spacing w:before="200" w:line-rule="auto"/>
        <w:ind w:firstLine="540"/>
        <w:jc w:val="both"/>
      </w:pPr>
      <w:r>
        <w:rPr>
          <w:sz w:val="20"/>
        </w:rPr>
        <w:t xml:space="preserve">- минеральную примесь - комочки земли, гальку, частицы шлака, руды и т.п.;</w:t>
      </w:r>
    </w:p>
    <w:p>
      <w:pPr>
        <w:pStyle w:val="0"/>
        <w:spacing w:before="200" w:line-rule="auto"/>
        <w:ind w:firstLine="540"/>
        <w:jc w:val="both"/>
      </w:pPr>
      <w:r>
        <w:rPr>
          <w:sz w:val="20"/>
        </w:rPr>
        <w:t xml:space="preserve">- органическую примесь - части стеблей, стержней колоса, ости, пленки, части листьев и т.п.;</w:t>
      </w:r>
    </w:p>
    <w:p>
      <w:pPr>
        <w:pStyle w:val="0"/>
        <w:spacing w:before="200" w:line-rule="auto"/>
        <w:ind w:firstLine="540"/>
        <w:jc w:val="both"/>
      </w:pPr>
      <w:r>
        <w:rPr>
          <w:sz w:val="20"/>
        </w:rPr>
        <w:t xml:space="preserve">- семена всех дикорастущих растений;</w:t>
      </w:r>
    </w:p>
    <w:p>
      <w:pPr>
        <w:pStyle w:val="0"/>
        <w:spacing w:before="200" w:line-rule="auto"/>
        <w:ind w:firstLine="540"/>
        <w:jc w:val="both"/>
      </w:pPr>
      <w:r>
        <w:rPr>
          <w:sz w:val="20"/>
        </w:rPr>
        <w:t xml:space="preserve">- испорченные зерна ржи, пшеницы, тритикале, ячменя и полбы с явным испорченным эндоспермом от коричневого до черного цвета;</w:t>
      </w:r>
    </w:p>
    <w:p>
      <w:pPr>
        <w:pStyle w:val="0"/>
        <w:spacing w:before="200" w:line-rule="auto"/>
        <w:ind w:firstLine="540"/>
        <w:jc w:val="both"/>
      </w:pPr>
      <w:r>
        <w:rPr>
          <w:sz w:val="20"/>
        </w:rPr>
        <w:t xml:space="preserve">- зерна ржи, пшеницы, тритикале, полбы и ячменя с полностью выеденным эндоспермом;</w:t>
      </w:r>
    </w:p>
    <w:p>
      <w:pPr>
        <w:pStyle w:val="0"/>
        <w:spacing w:before="200" w:line-rule="auto"/>
        <w:ind w:firstLine="540"/>
        <w:jc w:val="both"/>
      </w:pPr>
      <w:r>
        <w:rPr>
          <w:sz w:val="20"/>
        </w:rPr>
        <w:t xml:space="preserve">- вредную примесь - спорынью, горчак ползучий, вязель разноцветный, гелиотроп опушенно-плодный, триходесму седую, софору лисохвостную, термопсис ланцетный (мышатник), головню, зерна, пораженные нематодой, плевел опьяняющий;</w:t>
      </w:r>
    </w:p>
    <w:p>
      <w:pPr>
        <w:pStyle w:val="0"/>
        <w:spacing w:before="200" w:line-rule="auto"/>
        <w:ind w:firstLine="540"/>
        <w:jc w:val="both"/>
      </w:pPr>
      <w:r>
        <w:rPr>
          <w:sz w:val="20"/>
        </w:rPr>
        <w:t xml:space="preserve">- в зерне ржи 1 - 3-го классов - зерна и семена всех других культурных растений, кроме неиспорченных зерен пшеницы, тритикале, ячменя и полбы;</w:t>
      </w:r>
    </w:p>
    <w:p>
      <w:pPr>
        <w:pStyle w:val="0"/>
        <w:spacing w:before="200" w:line-rule="auto"/>
        <w:ind w:firstLine="540"/>
        <w:jc w:val="both"/>
      </w:pPr>
      <w:r>
        <w:rPr>
          <w:sz w:val="20"/>
        </w:rPr>
        <w:t xml:space="preserve">- в зерне ржи 4-го класса - зерна и семена других зерновых и зернобобовых культур, отнесенные согласно стандартам на эти культуры по характеру их повреждений к сорной примеси, а также семена масличных культур.</w:t>
      </w:r>
    </w:p>
    <w:p>
      <w:pPr>
        <w:pStyle w:val="0"/>
        <w:spacing w:before="200" w:line-rule="auto"/>
        <w:ind w:firstLine="540"/>
        <w:jc w:val="both"/>
      </w:pPr>
      <w:r>
        <w:rPr>
          <w:sz w:val="20"/>
        </w:rPr>
        <w:t xml:space="preserve">4.3.3 К зерновой примеси относят:</w:t>
      </w:r>
    </w:p>
    <w:p>
      <w:pPr>
        <w:pStyle w:val="0"/>
        <w:spacing w:before="200" w:line-rule="auto"/>
        <w:ind w:firstLine="540"/>
        <w:jc w:val="both"/>
      </w:pPr>
      <w:r>
        <w:rPr>
          <w:sz w:val="20"/>
        </w:rPr>
        <w:t xml:space="preserve">- зерна ржи:</w:t>
      </w:r>
    </w:p>
    <w:p>
      <w:pPr>
        <w:pStyle w:val="0"/>
        <w:spacing w:before="200" w:line-rule="auto"/>
        <w:ind w:firstLine="540"/>
        <w:jc w:val="both"/>
      </w:pPr>
      <w:r>
        <w:rPr>
          <w:sz w:val="20"/>
        </w:rPr>
        <w:t xml:space="preserve">- 50% массы битых и изъеденных зерен, независимо от характера и размера их повреждения (остальные 50% массы таких зерен относят к основному зерну);</w:t>
      </w:r>
    </w:p>
    <w:p>
      <w:pPr>
        <w:pStyle w:val="0"/>
        <w:spacing w:before="200" w:line-rule="auto"/>
        <w:ind w:firstLine="540"/>
        <w:jc w:val="both"/>
      </w:pPr>
      <w:r>
        <w:rPr>
          <w:sz w:val="20"/>
        </w:rPr>
        <w:t xml:space="preserve">- давленые;</w:t>
      </w:r>
    </w:p>
    <w:p>
      <w:pPr>
        <w:pStyle w:val="0"/>
        <w:spacing w:before="200" w:line-rule="auto"/>
        <w:ind w:firstLine="540"/>
        <w:jc w:val="both"/>
      </w:pPr>
      <w:r>
        <w:rPr>
          <w:sz w:val="20"/>
        </w:rPr>
        <w:t xml:space="preserve">- сильно недоразвитые - щуплые;</w:t>
      </w:r>
    </w:p>
    <w:p>
      <w:pPr>
        <w:pStyle w:val="0"/>
        <w:spacing w:before="200" w:line-rule="auto"/>
        <w:ind w:firstLine="540"/>
        <w:jc w:val="both"/>
      </w:pPr>
      <w:r>
        <w:rPr>
          <w:sz w:val="20"/>
        </w:rPr>
        <w:t xml:space="preserve">- проросшие - с вышедшим наружу корешком или ростком, или с утраченным корешком или ростком, но деформированные с явно измененным цветом оболочки вокруг зародыша;</w:t>
      </w:r>
    </w:p>
    <w:p>
      <w:pPr>
        <w:pStyle w:val="0"/>
        <w:spacing w:before="200" w:line-rule="auto"/>
        <w:ind w:firstLine="540"/>
        <w:jc w:val="both"/>
      </w:pPr>
      <w:r>
        <w:rPr>
          <w:sz w:val="20"/>
        </w:rPr>
        <w:t xml:space="preserve">- поврежденные самосогреванием или сушкой - зерна с явно измененным цветом оболочек и эндоспермом от кремового до светло-коричневого цвета;</w:t>
      </w:r>
    </w:p>
    <w:p>
      <w:pPr>
        <w:pStyle w:val="0"/>
        <w:spacing w:before="200" w:line-rule="auto"/>
        <w:ind w:firstLine="540"/>
        <w:jc w:val="both"/>
      </w:pPr>
      <w:r>
        <w:rPr>
          <w:sz w:val="20"/>
        </w:rPr>
        <w:t xml:space="preserve">- раздутые при сушке;</w:t>
      </w:r>
    </w:p>
    <w:p>
      <w:pPr>
        <w:pStyle w:val="0"/>
        <w:spacing w:before="200" w:line-rule="auto"/>
        <w:ind w:firstLine="540"/>
        <w:jc w:val="both"/>
      </w:pPr>
      <w:r>
        <w:rPr>
          <w:sz w:val="20"/>
        </w:rPr>
        <w:t xml:space="preserve">- в зерне ржи 1 - 3-го классов - зерна пшеницы, тритикале, ячменя и полбы, целые и поврежденные, не отнесенные по характеру их повреждений к сорной примеси;</w:t>
      </w:r>
    </w:p>
    <w:p>
      <w:pPr>
        <w:pStyle w:val="0"/>
        <w:spacing w:before="200" w:line-rule="auto"/>
        <w:ind w:firstLine="540"/>
        <w:jc w:val="both"/>
      </w:pPr>
      <w:r>
        <w:rPr>
          <w:sz w:val="20"/>
        </w:rPr>
        <w:t xml:space="preserve">- в зерне ржи 4-го класса - зерна и семена всех зерновых и зернобобовых культур, не отнесенные согласно стандартам на эти культуры по характеру их повреждений к сорной примеси.</w:t>
      </w:r>
    </w:p>
    <w:p>
      <w:pPr>
        <w:pStyle w:val="0"/>
        <w:spacing w:before="200" w:line-rule="auto"/>
        <w:ind w:firstLine="540"/>
        <w:jc w:val="both"/>
      </w:pPr>
      <w:r>
        <w:rPr>
          <w:sz w:val="20"/>
        </w:rPr>
        <w:t xml:space="preserve">4.3.4 Класс ржи определяют после ее послеуборочной обработки на технологических линиях очистки и сушки по всем показателям, установленным в </w:t>
      </w:r>
      <w:hyperlink w:history="0" w:anchor="P123" w:tooltip="Таблица 1">
        <w:r>
          <w:rPr>
            <w:sz w:val="20"/>
            <w:color w:val="0000ff"/>
          </w:rPr>
          <w:t xml:space="preserve">таблице 1</w:t>
        </w:r>
      </w:hyperlink>
      <w:r>
        <w:rPr>
          <w:sz w:val="20"/>
        </w:rPr>
        <w:t xml:space="preserve">, по наихудшему значению одного из показателей.</w:t>
      </w:r>
    </w:p>
    <w:p>
      <w:pPr>
        <w:pStyle w:val="0"/>
        <w:jc w:val="both"/>
      </w:pPr>
      <w:r>
        <w:rPr>
          <w:sz w:val="20"/>
        </w:rPr>
      </w:r>
    </w:p>
    <w:p>
      <w:pPr>
        <w:pStyle w:val="0"/>
        <w:outlineLvl w:val="1"/>
        <w:ind w:firstLine="540"/>
        <w:jc w:val="both"/>
      </w:pPr>
      <w:r>
        <w:rPr>
          <w:sz w:val="20"/>
        </w:rPr>
        <w:t xml:space="preserve">5. Требования безопасности производства</w:t>
      </w:r>
    </w:p>
    <w:p>
      <w:pPr>
        <w:pStyle w:val="0"/>
        <w:jc w:val="both"/>
      </w:pPr>
      <w:r>
        <w:rPr>
          <w:sz w:val="20"/>
        </w:rPr>
      </w:r>
    </w:p>
    <w:p>
      <w:pPr>
        <w:pStyle w:val="0"/>
        <w:ind w:firstLine="540"/>
        <w:jc w:val="both"/>
      </w:pPr>
      <w:r>
        <w:rPr>
          <w:sz w:val="20"/>
        </w:rPr>
        <w:t xml:space="preserve">Во время приемки, транспортировки и хранения зерна ржи необходимо соблюдать требования по технике безопасности и производственной санитарии.</w:t>
      </w:r>
    </w:p>
    <w:p>
      <w:pPr>
        <w:pStyle w:val="0"/>
        <w:spacing w:before="200" w:line-rule="auto"/>
        <w:ind w:firstLine="540"/>
        <w:jc w:val="both"/>
      </w:pPr>
      <w:r>
        <w:rPr>
          <w:sz w:val="20"/>
        </w:rPr>
        <w:t xml:space="preserve">5.1 Склады и зернохранилища для размещения зерна ржи должны быть оснащены вентиляционными системами по </w:t>
      </w:r>
      <w:hyperlink w:history="0" r:id="rId50" w:tooltip="Ссылка на КонсультантПлюс">
        <w:r>
          <w:rPr>
            <w:sz w:val="20"/>
            <w:color w:val="0000ff"/>
          </w:rPr>
          <w:t xml:space="preserve">ГОСТ 12.4.021</w:t>
        </w:r>
      </w:hyperlink>
      <w:r>
        <w:rPr>
          <w:sz w:val="20"/>
        </w:rPr>
        <w:t xml:space="preserve">, соответствовать требованиям пожарной безопасности по </w:t>
      </w:r>
      <w:hyperlink w:history="0" r:id="rId51"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52"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5.2 Производственное оборудование должно соответствовать требованиям безопасности по </w:t>
      </w:r>
      <w:hyperlink w:history="0" r:id="rId53"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5.3 Содержание пыли в воздухе рабочей зоны не должно превышать допустимых значений по </w:t>
      </w:r>
      <w:hyperlink w:history="0" r:id="rId54" w:tooltip="Ссылка на КонсультантПлюс">
        <w:r>
          <w:rPr>
            <w:sz w:val="20"/>
            <w:color w:val="0000ff"/>
          </w:rPr>
          <w:t xml:space="preserve">ГОСТ 12.1.005</w:t>
        </w:r>
      </w:hyperlink>
      <w:r>
        <w:rPr>
          <w:sz w:val="20"/>
        </w:rPr>
        <w:t xml:space="preserve">.</w:t>
      </w:r>
    </w:p>
    <w:p>
      <w:pPr>
        <w:pStyle w:val="0"/>
        <w:jc w:val="both"/>
      </w:pPr>
      <w:r>
        <w:rPr>
          <w:sz w:val="20"/>
        </w:rPr>
      </w:r>
    </w:p>
    <w:p>
      <w:pPr>
        <w:pStyle w:val="0"/>
        <w:outlineLvl w:val="1"/>
        <w:ind w:firstLine="540"/>
        <w:jc w:val="both"/>
      </w:pPr>
      <w:r>
        <w:rPr>
          <w:sz w:val="20"/>
        </w:rPr>
        <w:t xml:space="preserve">6. Правила приемки</w:t>
      </w:r>
    </w:p>
    <w:p>
      <w:pPr>
        <w:pStyle w:val="0"/>
        <w:jc w:val="both"/>
      </w:pPr>
      <w:r>
        <w:rPr>
          <w:sz w:val="20"/>
        </w:rPr>
      </w:r>
    </w:p>
    <w:p>
      <w:pPr>
        <w:pStyle w:val="0"/>
        <w:ind w:firstLine="540"/>
        <w:jc w:val="both"/>
      </w:pPr>
      <w:r>
        <w:rPr>
          <w:sz w:val="20"/>
        </w:rPr>
        <w:t xml:space="preserve">6.1 Правила приемки - по </w:t>
      </w:r>
      <w:hyperlink w:history="0" w:anchor="P303" w:tooltip="[1]">
        <w:r>
          <w:rPr>
            <w:sz w:val="20"/>
            <w:color w:val="0000ff"/>
          </w:rPr>
          <w:t xml:space="preserve">[1]</w:t>
        </w:r>
      </w:hyperlink>
      <w:r>
        <w:rPr>
          <w:sz w:val="20"/>
        </w:rPr>
        <w:t xml:space="preserve">, </w:t>
      </w:r>
      <w:hyperlink w:history="0" r:id="rId55"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6.2 Рожь, содержащую примесь зерен других зерновых культур и семян зернобобовых культур более 15% массы зерна вместе с примесями, оценивают как смесь ржи с другими культурами с указанием ее состава в процентах.</w:t>
      </w:r>
    </w:p>
    <w:p>
      <w:pPr>
        <w:pStyle w:val="0"/>
        <w:spacing w:before="200" w:line-rule="auto"/>
        <w:ind w:firstLine="540"/>
        <w:jc w:val="both"/>
      </w:pPr>
      <w:r>
        <w:rPr>
          <w:sz w:val="20"/>
        </w:rPr>
        <w:t xml:space="preserve">6.3 Контроль содержания токсичных элементов, микотоксинов, бенз(а)пирена, пестицидов, радионуклидов, вредных примесей, зараженности вредителями и загрязненности мертвыми насекомыми-вредителями, ГМО в зерне ржи осуществляют в соответствии с порядком, установленным изготовителем продукции с учетом требований </w:t>
      </w:r>
      <w:hyperlink w:history="0" w:anchor="P303" w:tooltip="[1]">
        <w:r>
          <w:rPr>
            <w:sz w:val="20"/>
            <w:color w:val="0000ff"/>
          </w:rPr>
          <w:t xml:space="preserve">[1]</w:t>
        </w:r>
      </w:hyperlink>
      <w:r>
        <w:rPr>
          <w:sz w:val="20"/>
        </w:rPr>
        <w:t xml:space="preserve"> или законодательства государства, принявшего стандарт.</w:t>
      </w:r>
    </w:p>
    <w:p>
      <w:pPr>
        <w:pStyle w:val="0"/>
        <w:spacing w:before="200" w:line-rule="auto"/>
        <w:ind w:firstLine="540"/>
        <w:jc w:val="both"/>
      </w:pPr>
      <w:r>
        <w:rPr>
          <w:sz w:val="20"/>
        </w:rPr>
        <w:t xml:space="preserve">6.4 Каждая партия зерна ржи должна сопровождаться товаросопроводительными документами в соответствии с требованиями </w:t>
      </w:r>
      <w:hyperlink w:history="0" w:anchor="P303" w:tooltip="[1]">
        <w:r>
          <w:rPr>
            <w:sz w:val="20"/>
            <w:color w:val="0000ff"/>
          </w:rPr>
          <w:t xml:space="preserve">[1]</w:t>
        </w:r>
      </w:hyperlink>
      <w:r>
        <w:rPr>
          <w:sz w:val="20"/>
        </w:rPr>
        <w:t xml:space="preserve"> или нормативных правовых документов, действующих на территории государства, принявшего стандарт.</w:t>
      </w:r>
    </w:p>
    <w:p>
      <w:pPr>
        <w:pStyle w:val="0"/>
        <w:jc w:val="both"/>
      </w:pPr>
      <w:r>
        <w:rPr>
          <w:sz w:val="20"/>
        </w:rPr>
      </w:r>
    </w:p>
    <w:p>
      <w:pPr>
        <w:pStyle w:val="0"/>
        <w:outlineLvl w:val="1"/>
        <w:ind w:firstLine="540"/>
        <w:jc w:val="both"/>
      </w:pPr>
      <w:r>
        <w:rPr>
          <w:sz w:val="20"/>
        </w:rPr>
        <w:t xml:space="preserve">7. Методы контроля</w:t>
      </w:r>
    </w:p>
    <w:p>
      <w:pPr>
        <w:pStyle w:val="0"/>
        <w:jc w:val="both"/>
      </w:pPr>
      <w:r>
        <w:rPr>
          <w:sz w:val="20"/>
        </w:rPr>
      </w:r>
    </w:p>
    <w:p>
      <w:pPr>
        <w:pStyle w:val="0"/>
        <w:ind w:firstLine="540"/>
        <w:jc w:val="both"/>
      </w:pPr>
      <w:r>
        <w:rPr>
          <w:sz w:val="20"/>
        </w:rPr>
        <w:t xml:space="preserve">7.1 Отбор проб - по </w:t>
      </w:r>
      <w:hyperlink w:history="0" r:id="rId56"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7.2 Определение запаха, цвета и обесцвеченности - по </w:t>
      </w:r>
      <w:hyperlink w:history="0" r:id="rId57" w:tooltip="&quot;ГОСТ 10967-90. Государственный стандарт Союза ССР. Зерно. Методы определения запаха и цвета&quot; (утв. и введен в действие Постановлением Госстандарта СССР от 28.09.1990 N 2585) ------------ Утратил силу или отменен {КонсультантПлюс}">
        <w:r>
          <w:rPr>
            <w:sz w:val="20"/>
            <w:color w:val="0000ff"/>
          </w:rPr>
          <w:t xml:space="preserve">ГОСТ 10967</w:t>
        </w:r>
      </w:hyperlink>
      <w:r>
        <w:rPr>
          <w:sz w:val="20"/>
        </w:rPr>
        <w:t xml:space="preserve">.</w:t>
      </w:r>
    </w:p>
    <w:p>
      <w:pPr>
        <w:pStyle w:val="0"/>
        <w:spacing w:before="200" w:line-rule="auto"/>
        <w:ind w:firstLine="540"/>
        <w:jc w:val="both"/>
      </w:pPr>
      <w:r>
        <w:rPr>
          <w:sz w:val="20"/>
        </w:rPr>
        <w:t xml:space="preserve">7.3 Определение влажности - по </w:t>
      </w:r>
      <w:hyperlink w:history="0" r:id="rId58"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w:t>
      </w:r>
    </w:p>
    <w:p>
      <w:pPr>
        <w:pStyle w:val="0"/>
        <w:spacing w:before="200" w:line-rule="auto"/>
        <w:ind w:firstLine="540"/>
        <w:jc w:val="both"/>
      </w:pPr>
      <w:r>
        <w:rPr>
          <w:sz w:val="20"/>
        </w:rPr>
        <w:t xml:space="preserve">7.4 Определение сорной и зерновой примесей - по </w:t>
      </w:r>
      <w:hyperlink w:history="0" r:id="rId59"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7.5 Определение зараженности вредителями - по </w:t>
      </w:r>
      <w:hyperlink w:history="0" r:id="rId60"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w:t>
      </w:r>
      <w:hyperlink w:history="0" r:id="rId61"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w:t>
      </w:r>
    </w:p>
    <w:p>
      <w:pPr>
        <w:pStyle w:val="0"/>
        <w:spacing w:before="200" w:line-rule="auto"/>
        <w:ind w:firstLine="540"/>
        <w:jc w:val="both"/>
      </w:pPr>
      <w:r>
        <w:rPr>
          <w:sz w:val="20"/>
        </w:rPr>
        <w:t xml:space="preserve">7.6 Определение натуры - по </w:t>
      </w:r>
      <w:hyperlink w:history="0" r:id="rId62" w:tooltip="&quot;ГОСТ 10840-64. Государственный стандарт Союза ССР. Зерно. Методы определения натуры&quot; (утв. Госстандартом СССР 20.04.1964) (ред. от 11.04.1988) ------------ Утратил силу или отменен {КонсультантПлюс}">
        <w:r>
          <w:rPr>
            <w:sz w:val="20"/>
            <w:color w:val="0000ff"/>
          </w:rPr>
          <w:t xml:space="preserve">ГОСТ 10840</w:t>
        </w:r>
      </w:hyperlink>
      <w:r>
        <w:rPr>
          <w:sz w:val="20"/>
        </w:rPr>
        <w:t xml:space="preserve">.</w:t>
      </w:r>
    </w:p>
    <w:p>
      <w:pPr>
        <w:pStyle w:val="0"/>
        <w:spacing w:before="200" w:line-rule="auto"/>
        <w:ind w:firstLine="540"/>
        <w:jc w:val="both"/>
      </w:pPr>
      <w:r>
        <w:rPr>
          <w:sz w:val="20"/>
        </w:rPr>
        <w:t xml:space="preserve">7.7 Определение числа падения - по </w:t>
      </w:r>
      <w:hyperlink w:history="0" r:id="rId63" w:tooltip="&quot;ГОСТ 27676-88. Государственный стандарт Союза ССР. Зерно и продукты его переработки. Метод определения числа падения&quot; (утв. и введен в действие Постановлением Госстандарта СССР от 31.03.1988 N 963) (ред. от 01.10.1994) {КонсультантПлюс}">
        <w:r>
          <w:rPr>
            <w:sz w:val="20"/>
            <w:color w:val="0000ff"/>
          </w:rPr>
          <w:t xml:space="preserve">ГОСТ 27676</w:t>
        </w:r>
      </w:hyperlink>
      <w:r>
        <w:rPr>
          <w:sz w:val="20"/>
        </w:rPr>
        <w:t xml:space="preserve">, </w:t>
      </w:r>
      <w:hyperlink w:history="0" r:id="rId64" w:tooltip="&quot;ГОСТ 30498-97 (ИСО 3093-82). Межгосударственный стандарт. Зерновые культуры. Определение числа падения&quot; (введен в действие Постановлением Госстандарта России от 22.09.1997 N 331) ------------ Утратил силу или отменен {КонсультантПлюс}">
        <w:r>
          <w:rPr>
            <w:sz w:val="20"/>
            <w:color w:val="0000ff"/>
          </w:rPr>
          <w:t xml:space="preserve">ГОСТ 30498</w:t>
        </w:r>
      </w:hyperlink>
      <w:r>
        <w:rPr>
          <w:sz w:val="20"/>
        </w:rPr>
        <w:t xml:space="preserve">.</w:t>
      </w:r>
    </w:p>
    <w:p>
      <w:pPr>
        <w:pStyle w:val="0"/>
        <w:spacing w:before="200" w:line-rule="auto"/>
        <w:ind w:firstLine="540"/>
        <w:jc w:val="both"/>
      </w:pPr>
      <w:r>
        <w:rPr>
          <w:sz w:val="20"/>
        </w:rPr>
        <w:t xml:space="preserve">7.8 Определение фузариозных зерен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7.9 Определение ртути - по </w:t>
      </w:r>
      <w:hyperlink w:history="0" r:id="rId65"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w:t>
      </w:r>
      <w:hyperlink w:history="0" r:id="rId66"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w:t>
      </w:r>
    </w:p>
    <w:p>
      <w:pPr>
        <w:pStyle w:val="0"/>
        <w:spacing w:before="200" w:line-rule="auto"/>
        <w:ind w:firstLine="540"/>
        <w:jc w:val="both"/>
      </w:pPr>
      <w:r>
        <w:rPr>
          <w:sz w:val="20"/>
        </w:rPr>
        <w:t xml:space="preserve">7.10 Определение мышьяка - по </w:t>
      </w:r>
      <w:hyperlink w:history="0" r:id="rId67"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68"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w:t>
      </w:r>
      <w:hyperlink w:history="0" r:id="rId69"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w:t>
      </w:r>
      <w:hyperlink w:history="0" r:id="rId70"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7.11 Определение свинца - по </w:t>
      </w:r>
      <w:hyperlink w:history="0" r:id="rId71"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w:t>
      </w:r>
      <w:hyperlink w:history="0" r:id="rId72"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73"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7.12 Определение кадмия - по </w:t>
      </w:r>
      <w:hyperlink w:history="0" r:id="rId74"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w:t>
      </w:r>
      <w:hyperlink w:history="0" r:id="rId75"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76"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7.13 Определение пестицидов - по </w:t>
      </w:r>
      <w:hyperlink w:history="0" r:id="rId77"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w:t>
      </w:r>
      <w:hyperlink w:history="0" r:id="rId78"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или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7.14 Подготовка проб и минерализация для определения содержания токсичных элементов - по </w:t>
      </w:r>
      <w:hyperlink w:history="0" r:id="rId79"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w:t>
      </w:r>
      <w:hyperlink w:history="0" r:id="rId80"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или по другим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7.15 Определение микотоксинов - по </w:t>
      </w:r>
      <w:hyperlink w:history="0" r:id="rId81"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или по другим нормативным документам, действующим на территории государств, принявших стандарт:</w:t>
      </w:r>
    </w:p>
    <w:p>
      <w:pPr>
        <w:pStyle w:val="0"/>
        <w:spacing w:before="200" w:line-rule="auto"/>
        <w:ind w:firstLine="540"/>
        <w:jc w:val="both"/>
      </w:pPr>
      <w:r>
        <w:rPr>
          <w:sz w:val="20"/>
        </w:rPr>
        <w:t xml:space="preserve">- афлатоксина B</w:t>
      </w:r>
      <w:r>
        <w:rPr>
          <w:sz w:val="20"/>
          <w:vertAlign w:val="subscript"/>
        </w:rPr>
        <w:t xml:space="preserve">1</w:t>
      </w:r>
      <w:r>
        <w:rPr>
          <w:sz w:val="20"/>
        </w:rPr>
        <w:t xml:space="preserve"> - по </w:t>
      </w:r>
      <w:hyperlink w:history="0" r:id="rId82"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83"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w:t>
      </w:r>
    </w:p>
    <w:p>
      <w:pPr>
        <w:pStyle w:val="0"/>
        <w:spacing w:before="200" w:line-rule="auto"/>
        <w:ind w:firstLine="540"/>
        <w:jc w:val="both"/>
      </w:pPr>
      <w:r>
        <w:rPr>
          <w:sz w:val="20"/>
        </w:rPr>
        <w:t xml:space="preserve">- Т-2 токсина - по </w:t>
      </w:r>
      <w:hyperlink w:history="0" r:id="rId84"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и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 зеараленона - по </w:t>
      </w:r>
      <w:hyperlink w:history="0" r:id="rId85"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w:t>
      </w:r>
    </w:p>
    <w:p>
      <w:pPr>
        <w:pStyle w:val="0"/>
        <w:spacing w:before="200" w:line-rule="auto"/>
        <w:ind w:firstLine="540"/>
        <w:jc w:val="both"/>
      </w:pPr>
      <w:r>
        <w:rPr>
          <w:sz w:val="20"/>
        </w:rPr>
        <w:t xml:space="preserve">- охратоксина А - по </w:t>
      </w:r>
      <w:hyperlink w:history="0" r:id="rId86"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w:t>
      </w:r>
      <w:hyperlink w:history="0" r:id="rId87"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и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7.16 Определение бенз(а)пирена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7.17 Отбор проб для определения радионуклидов - по </w:t>
      </w:r>
      <w:hyperlink w:history="0" r:id="rId88"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w:t>
      </w:r>
    </w:p>
    <w:p>
      <w:pPr>
        <w:pStyle w:val="0"/>
        <w:spacing w:before="200" w:line-rule="auto"/>
        <w:ind w:firstLine="540"/>
        <w:jc w:val="both"/>
      </w:pPr>
      <w:r>
        <w:rPr>
          <w:sz w:val="20"/>
        </w:rPr>
        <w:t xml:space="preserve">7.18 Определение радионуклидов - по </w:t>
      </w:r>
      <w:hyperlink w:history="0" r:id="rId89"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90"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w:t>
      </w:r>
    </w:p>
    <w:p>
      <w:pPr>
        <w:pStyle w:val="0"/>
        <w:spacing w:before="200" w:line-rule="auto"/>
        <w:ind w:firstLine="540"/>
        <w:jc w:val="both"/>
      </w:pPr>
      <w:r>
        <w:rPr>
          <w:sz w:val="20"/>
        </w:rPr>
        <w:t xml:space="preserve">7.19 Определение остаточных количеств 2,4-Д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7.20 Определение ртутьорганических пестицидов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7.21 Определение ГМО - по ГОСТ ИСО 21569, ГОСТ ИСО 21570, ГОСТ ИСО 21571 или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7.22 Допускается проведение испытаний по другим нормативным документам на методы, включенным в </w:t>
      </w:r>
      <w:hyperlink w:history="0" r:id="rId91"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перечень</w:t>
        </w:r>
      </w:hyperlink>
      <w:r>
        <w:rPr>
          <w:sz w:val="20"/>
        </w:rPr>
        <w:t xml:space="preserve"> к </w:t>
      </w:r>
      <w:hyperlink w:history="0" w:anchor="P303" w:tooltip="[1]">
        <w:r>
          <w:rPr>
            <w:sz w:val="20"/>
            <w:color w:val="0000ff"/>
          </w:rPr>
          <w:t xml:space="preserve">[1]</w:t>
        </w:r>
      </w:hyperlink>
      <w:r>
        <w:rPr>
          <w:sz w:val="20"/>
        </w:rPr>
        <w:t xml:space="preserve">.</w:t>
      </w:r>
    </w:p>
    <w:p>
      <w:pPr>
        <w:pStyle w:val="0"/>
        <w:jc w:val="both"/>
      </w:pPr>
      <w:r>
        <w:rPr>
          <w:sz w:val="20"/>
        </w:rPr>
      </w:r>
    </w:p>
    <w:p>
      <w:pPr>
        <w:pStyle w:val="0"/>
        <w:outlineLvl w:val="1"/>
        <w:ind w:firstLine="540"/>
        <w:jc w:val="both"/>
      </w:pPr>
      <w:r>
        <w:rPr>
          <w:sz w:val="20"/>
        </w:rPr>
        <w:t xml:space="preserve">8. Транспортирование и хранение</w:t>
      </w:r>
    </w:p>
    <w:p>
      <w:pPr>
        <w:pStyle w:val="0"/>
        <w:jc w:val="both"/>
      </w:pPr>
      <w:r>
        <w:rPr>
          <w:sz w:val="20"/>
        </w:rPr>
      </w:r>
    </w:p>
    <w:p>
      <w:pPr>
        <w:pStyle w:val="0"/>
        <w:ind w:firstLine="540"/>
        <w:jc w:val="both"/>
      </w:pPr>
      <w:r>
        <w:rPr>
          <w:sz w:val="20"/>
        </w:rPr>
        <w:t xml:space="preserve">8.1 Рожь размещают, транспортируют и хранят в чистых, сухих, без постороннего запаха, не зараженных вредителями транспортных средствах и зернохранилищах в соответствии с санитарными правилами и нормами, утвержденными в установленном порядке, а также правилами перевозок, действующими на транспорте данного вида.</w:t>
      </w:r>
    </w:p>
    <w:p>
      <w:pPr>
        <w:pStyle w:val="0"/>
        <w:spacing w:before="200" w:line-rule="auto"/>
        <w:ind w:firstLine="540"/>
        <w:jc w:val="both"/>
      </w:pPr>
      <w:r>
        <w:rPr>
          <w:sz w:val="20"/>
        </w:rPr>
        <w:t xml:space="preserve">8.2 При размещении, транспортировании и хранении ржи учитывают состояние зерна по влажности и засоренности, приведенные в таблицах 2 и </w:t>
      </w:r>
      <w:hyperlink w:history="0" w:anchor="P279" w:tooltip="Таблица 3">
        <w:r>
          <w:rPr>
            <w:sz w:val="20"/>
            <w:color w:val="0000ff"/>
          </w:rPr>
          <w:t xml:space="preserve">3</w:t>
        </w:r>
      </w:hyperlink>
      <w:r>
        <w:rPr>
          <w:sz w:val="20"/>
        </w:rPr>
        <w:t xml:space="preserve">.</w:t>
      </w:r>
    </w:p>
    <w:p>
      <w:pPr>
        <w:pStyle w:val="0"/>
        <w:jc w:val="both"/>
      </w:pPr>
      <w:r>
        <w:rPr>
          <w:sz w:val="20"/>
        </w:rPr>
      </w:r>
    </w:p>
    <w:p>
      <w:pPr>
        <w:pStyle w:val="0"/>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15"/>
        <w:gridCol w:w="4516"/>
      </w:tblGrid>
      <w:tr>
        <w:tblPrEx>
          <w:tblBorders>
            <w:insideH w:val="single" w:sz="4"/>
          </w:tblBorders>
        </w:tblPrEx>
        <w:tc>
          <w:tcPr>
            <w:tcW w:w="4515" w:type="dxa"/>
            <w:vAlign w:val="center"/>
            <w:tcBorders>
              <w:top w:val="single" w:sz="4"/>
              <w:bottom w:val="single" w:sz="4"/>
            </w:tcBorders>
          </w:tcPr>
          <w:p>
            <w:pPr>
              <w:pStyle w:val="0"/>
              <w:jc w:val="center"/>
            </w:pPr>
            <w:r>
              <w:rPr>
                <w:sz w:val="20"/>
              </w:rPr>
              <w:t xml:space="preserve">Состояние</w:t>
            </w:r>
          </w:p>
        </w:tc>
        <w:tc>
          <w:tcPr>
            <w:tcW w:w="4516" w:type="dxa"/>
            <w:vAlign w:val="center"/>
            <w:tcBorders>
              <w:top w:val="single" w:sz="4"/>
              <w:bottom w:val="single" w:sz="4"/>
            </w:tcBorders>
          </w:tcPr>
          <w:p>
            <w:pPr>
              <w:pStyle w:val="0"/>
              <w:jc w:val="center"/>
            </w:pPr>
            <w:r>
              <w:rPr>
                <w:sz w:val="20"/>
              </w:rPr>
              <w:t xml:space="preserve">Влажность, %</w:t>
            </w:r>
          </w:p>
        </w:tc>
      </w:tr>
      <w:tr>
        <w:tc>
          <w:tcPr>
            <w:tcW w:w="4515" w:type="dxa"/>
            <w:tcBorders>
              <w:top w:val="single" w:sz="4"/>
              <w:bottom w:val="nil"/>
            </w:tcBorders>
          </w:tcPr>
          <w:p>
            <w:pPr>
              <w:pStyle w:val="0"/>
            </w:pPr>
            <w:r>
              <w:rPr>
                <w:sz w:val="20"/>
              </w:rPr>
              <w:t xml:space="preserve">Сухое</w:t>
            </w:r>
          </w:p>
        </w:tc>
        <w:tc>
          <w:tcPr>
            <w:tcW w:w="4516" w:type="dxa"/>
            <w:tcBorders>
              <w:top w:val="single" w:sz="4"/>
              <w:bottom w:val="nil"/>
            </w:tcBorders>
          </w:tcPr>
          <w:p>
            <w:pPr>
              <w:pStyle w:val="0"/>
              <w:jc w:val="center"/>
            </w:pPr>
            <w:r>
              <w:rPr>
                <w:sz w:val="20"/>
              </w:rPr>
              <w:t xml:space="preserve">Не более 14,0</w:t>
            </w:r>
          </w:p>
        </w:tc>
      </w:tr>
      <w:tr>
        <w:tc>
          <w:tcPr>
            <w:tcW w:w="4515" w:type="dxa"/>
            <w:tcBorders>
              <w:top w:val="nil"/>
              <w:bottom w:val="nil"/>
            </w:tcBorders>
          </w:tcPr>
          <w:p>
            <w:pPr>
              <w:pStyle w:val="0"/>
            </w:pPr>
            <w:r>
              <w:rPr>
                <w:sz w:val="20"/>
              </w:rPr>
              <w:t xml:space="preserve">Средней сухости</w:t>
            </w:r>
          </w:p>
        </w:tc>
        <w:tc>
          <w:tcPr>
            <w:tcW w:w="4516" w:type="dxa"/>
            <w:tcBorders>
              <w:top w:val="nil"/>
              <w:bottom w:val="nil"/>
            </w:tcBorders>
          </w:tcPr>
          <w:p>
            <w:pPr>
              <w:pStyle w:val="0"/>
              <w:jc w:val="center"/>
            </w:pPr>
            <w:r>
              <w:rPr>
                <w:sz w:val="20"/>
              </w:rPr>
              <w:t xml:space="preserve">14,1 - 15,5</w:t>
            </w:r>
          </w:p>
        </w:tc>
      </w:tr>
      <w:tr>
        <w:tc>
          <w:tcPr>
            <w:tcW w:w="4515" w:type="dxa"/>
            <w:tcBorders>
              <w:top w:val="nil"/>
              <w:bottom w:val="nil"/>
            </w:tcBorders>
          </w:tcPr>
          <w:p>
            <w:pPr>
              <w:pStyle w:val="0"/>
            </w:pPr>
            <w:r>
              <w:rPr>
                <w:sz w:val="20"/>
              </w:rPr>
              <w:t xml:space="preserve">Влажное</w:t>
            </w:r>
          </w:p>
        </w:tc>
        <w:tc>
          <w:tcPr>
            <w:tcW w:w="4516" w:type="dxa"/>
            <w:tcBorders>
              <w:top w:val="nil"/>
              <w:bottom w:val="nil"/>
            </w:tcBorders>
          </w:tcPr>
          <w:p>
            <w:pPr>
              <w:pStyle w:val="0"/>
              <w:jc w:val="center"/>
            </w:pPr>
            <w:r>
              <w:rPr>
                <w:sz w:val="20"/>
              </w:rPr>
              <w:t xml:space="preserve">15,6 - 17,0</w:t>
            </w:r>
          </w:p>
        </w:tc>
      </w:tr>
      <w:tr>
        <w:tc>
          <w:tcPr>
            <w:tcW w:w="4515" w:type="dxa"/>
            <w:tcBorders>
              <w:top w:val="nil"/>
              <w:bottom w:val="single" w:sz="4"/>
            </w:tcBorders>
          </w:tcPr>
          <w:p>
            <w:pPr>
              <w:pStyle w:val="0"/>
            </w:pPr>
            <w:r>
              <w:rPr>
                <w:sz w:val="20"/>
              </w:rPr>
              <w:t xml:space="preserve">Сырое</w:t>
            </w:r>
          </w:p>
        </w:tc>
        <w:tc>
          <w:tcPr>
            <w:tcW w:w="4516" w:type="dxa"/>
            <w:tcBorders>
              <w:top w:val="nil"/>
              <w:bottom w:val="single" w:sz="4"/>
            </w:tcBorders>
          </w:tcPr>
          <w:p>
            <w:pPr>
              <w:pStyle w:val="0"/>
              <w:jc w:val="center"/>
            </w:pPr>
            <w:r>
              <w:rPr>
                <w:sz w:val="20"/>
              </w:rPr>
              <w:t xml:space="preserve">17,1 и более</w:t>
            </w:r>
          </w:p>
        </w:tc>
      </w:tr>
    </w:tbl>
    <w:p>
      <w:pPr>
        <w:pStyle w:val="0"/>
        <w:jc w:val="both"/>
      </w:pPr>
      <w:r>
        <w:rPr>
          <w:sz w:val="20"/>
        </w:rPr>
      </w:r>
    </w:p>
    <w:bookmarkStart w:id="279" w:name="P279"/>
    <w:bookmarkEnd w:id="279"/>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006"/>
        <w:gridCol w:w="3006"/>
        <w:gridCol w:w="3007"/>
      </w:tblGrid>
      <w:tr>
        <w:tblPrEx>
          <w:tblBorders>
            <w:insideH w:val="single" w:sz="4"/>
          </w:tblBorders>
        </w:tblPrEx>
        <w:tc>
          <w:tcPr>
            <w:tcW w:w="3006" w:type="dxa"/>
            <w:vAlign w:val="center"/>
            <w:tcBorders>
              <w:top w:val="single" w:sz="4"/>
              <w:bottom w:val="single" w:sz="4"/>
            </w:tcBorders>
          </w:tcPr>
          <w:p>
            <w:pPr>
              <w:pStyle w:val="0"/>
              <w:jc w:val="center"/>
            </w:pPr>
            <w:r>
              <w:rPr>
                <w:sz w:val="20"/>
              </w:rPr>
              <w:t xml:space="preserve">Состояние</w:t>
            </w:r>
          </w:p>
        </w:tc>
        <w:tc>
          <w:tcPr>
            <w:tcW w:w="3006" w:type="dxa"/>
            <w:vAlign w:val="center"/>
            <w:tcBorders>
              <w:top w:val="single" w:sz="4"/>
              <w:bottom w:val="single" w:sz="4"/>
            </w:tcBorders>
          </w:tcPr>
          <w:p>
            <w:pPr>
              <w:pStyle w:val="0"/>
              <w:jc w:val="center"/>
            </w:pPr>
            <w:r>
              <w:rPr>
                <w:sz w:val="20"/>
              </w:rPr>
              <w:t xml:space="preserve">Сорная примесь, %</w:t>
            </w:r>
          </w:p>
        </w:tc>
        <w:tc>
          <w:tcPr>
            <w:tcW w:w="3007" w:type="dxa"/>
            <w:vAlign w:val="center"/>
            <w:tcBorders>
              <w:top w:val="single" w:sz="4"/>
              <w:bottom w:val="single" w:sz="4"/>
            </w:tcBorders>
          </w:tcPr>
          <w:p>
            <w:pPr>
              <w:pStyle w:val="0"/>
              <w:jc w:val="center"/>
            </w:pPr>
            <w:r>
              <w:rPr>
                <w:sz w:val="20"/>
              </w:rPr>
              <w:t xml:space="preserve">Зерновая примесь, %</w:t>
            </w:r>
          </w:p>
        </w:tc>
      </w:tr>
      <w:tr>
        <w:tc>
          <w:tcPr>
            <w:tcW w:w="3006" w:type="dxa"/>
            <w:tcBorders>
              <w:top w:val="single" w:sz="4"/>
              <w:bottom w:val="nil"/>
            </w:tcBorders>
          </w:tcPr>
          <w:p>
            <w:pPr>
              <w:pStyle w:val="0"/>
            </w:pPr>
            <w:r>
              <w:rPr>
                <w:sz w:val="20"/>
              </w:rPr>
              <w:t xml:space="preserve">Чистое</w:t>
            </w:r>
          </w:p>
        </w:tc>
        <w:tc>
          <w:tcPr>
            <w:tcW w:w="3006" w:type="dxa"/>
            <w:tcBorders>
              <w:top w:val="single" w:sz="4"/>
              <w:bottom w:val="nil"/>
            </w:tcBorders>
          </w:tcPr>
          <w:p>
            <w:pPr>
              <w:pStyle w:val="0"/>
              <w:jc w:val="center"/>
            </w:pPr>
            <w:r>
              <w:rPr>
                <w:sz w:val="20"/>
              </w:rPr>
              <w:t xml:space="preserve">Не более 1,0</w:t>
            </w:r>
          </w:p>
        </w:tc>
        <w:tc>
          <w:tcPr>
            <w:tcW w:w="3007" w:type="dxa"/>
            <w:tcBorders>
              <w:top w:val="single" w:sz="4"/>
              <w:bottom w:val="nil"/>
            </w:tcBorders>
          </w:tcPr>
          <w:p>
            <w:pPr>
              <w:pStyle w:val="0"/>
              <w:jc w:val="center"/>
            </w:pPr>
            <w:r>
              <w:rPr>
                <w:sz w:val="20"/>
              </w:rPr>
              <w:t xml:space="preserve">Не более 2,0</w:t>
            </w:r>
          </w:p>
        </w:tc>
      </w:tr>
      <w:tr>
        <w:tc>
          <w:tcPr>
            <w:tcW w:w="3006" w:type="dxa"/>
            <w:tcBorders>
              <w:top w:val="nil"/>
              <w:bottom w:val="nil"/>
            </w:tcBorders>
          </w:tcPr>
          <w:p>
            <w:pPr>
              <w:pStyle w:val="0"/>
            </w:pPr>
            <w:r>
              <w:rPr>
                <w:sz w:val="20"/>
              </w:rPr>
              <w:t xml:space="preserve">Средней чистоты</w:t>
            </w:r>
          </w:p>
        </w:tc>
        <w:tc>
          <w:tcPr>
            <w:tcW w:w="3006" w:type="dxa"/>
            <w:tcBorders>
              <w:top w:val="nil"/>
              <w:bottom w:val="nil"/>
            </w:tcBorders>
          </w:tcPr>
          <w:p>
            <w:pPr>
              <w:pStyle w:val="0"/>
              <w:jc w:val="center"/>
            </w:pPr>
            <w:r>
              <w:rPr>
                <w:sz w:val="20"/>
              </w:rPr>
              <w:t xml:space="preserve">1,1 - 2,0</w:t>
            </w:r>
          </w:p>
        </w:tc>
        <w:tc>
          <w:tcPr>
            <w:tcW w:w="3007" w:type="dxa"/>
            <w:tcBorders>
              <w:top w:val="nil"/>
              <w:bottom w:val="nil"/>
            </w:tcBorders>
          </w:tcPr>
          <w:p>
            <w:pPr>
              <w:pStyle w:val="0"/>
              <w:jc w:val="center"/>
            </w:pPr>
            <w:r>
              <w:rPr>
                <w:sz w:val="20"/>
              </w:rPr>
              <w:t xml:space="preserve">2,1 - 4,0</w:t>
            </w:r>
          </w:p>
        </w:tc>
      </w:tr>
      <w:tr>
        <w:tc>
          <w:tcPr>
            <w:tcW w:w="3006" w:type="dxa"/>
            <w:tcBorders>
              <w:top w:val="nil"/>
              <w:bottom w:val="single" w:sz="4"/>
            </w:tcBorders>
          </w:tcPr>
          <w:p>
            <w:pPr>
              <w:pStyle w:val="0"/>
            </w:pPr>
            <w:r>
              <w:rPr>
                <w:sz w:val="20"/>
              </w:rPr>
              <w:t xml:space="preserve">Сорное</w:t>
            </w:r>
          </w:p>
        </w:tc>
        <w:tc>
          <w:tcPr>
            <w:tcW w:w="3006" w:type="dxa"/>
            <w:tcBorders>
              <w:top w:val="nil"/>
              <w:bottom w:val="single" w:sz="4"/>
            </w:tcBorders>
          </w:tcPr>
          <w:p>
            <w:pPr>
              <w:pStyle w:val="0"/>
              <w:jc w:val="center"/>
            </w:pPr>
            <w:r>
              <w:rPr>
                <w:sz w:val="20"/>
              </w:rPr>
              <w:t xml:space="preserve">2,1 и более</w:t>
            </w:r>
          </w:p>
        </w:tc>
        <w:tc>
          <w:tcPr>
            <w:tcW w:w="3007" w:type="dxa"/>
            <w:tcBorders>
              <w:top w:val="nil"/>
              <w:bottom w:val="single" w:sz="4"/>
            </w:tcBorders>
          </w:tcPr>
          <w:p>
            <w:pPr>
              <w:pStyle w:val="0"/>
              <w:jc w:val="center"/>
            </w:pPr>
            <w:r>
              <w:rPr>
                <w:sz w:val="20"/>
              </w:rPr>
              <w:t xml:space="preserve">4,1 и более</w:t>
            </w:r>
          </w:p>
        </w:tc>
      </w:tr>
    </w:tbl>
    <w:p>
      <w:pPr>
        <w:pStyle w:val="0"/>
        <w:jc w:val="both"/>
      </w:pPr>
      <w:r>
        <w:rPr>
          <w:sz w:val="20"/>
        </w:rPr>
      </w:r>
    </w:p>
    <w:p>
      <w:pPr>
        <w:pStyle w:val="0"/>
        <w:ind w:firstLine="540"/>
        <w:jc w:val="both"/>
      </w:pPr>
      <w:r>
        <w:rPr>
          <w:sz w:val="20"/>
        </w:rPr>
        <w:t xml:space="preserve">8.3 В процессе хранения проводится систематический контроль за качеством и состоянием зерна ржи. Контролируют: температуру зерна, влажность, зараженность, цвет, запах, а при необходимости и другие показатели согласно </w:t>
      </w:r>
      <w:hyperlink w:history="0" w:anchor="P305" w:tooltip="[2]">
        <w:r>
          <w:rPr>
            <w:sz w:val="20"/>
            <w:color w:val="0000ff"/>
          </w:rPr>
          <w:t xml:space="preserve">[2]</w:t>
        </w:r>
      </w:hyperlink>
      <w:r>
        <w:rPr>
          <w:sz w:val="20"/>
        </w:rPr>
        <w:t xml:space="preserve"> и другим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8.4 Срок годности и условия хранения зерна устанавливает изготовитель в соответствии с требованиями нормативных документов, действующих на территории государств, принявших стандарт.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center"/>
      </w:pPr>
      <w:r>
        <w:rPr>
          <w:sz w:val="20"/>
        </w:rPr>
        <w:t xml:space="preserve">Библиография</w:t>
      </w:r>
    </w:p>
    <w:p>
      <w:pPr>
        <w:pStyle w:val="0"/>
        <w:jc w:val="both"/>
      </w:pPr>
      <w:r>
        <w:rPr>
          <w:sz w:val="20"/>
        </w:rPr>
      </w:r>
    </w:p>
    <w:tbl>
      <w:tblPr>
        <w:tblInd w:w="0" w:type="dxa"/>
        <w:tblLayout w:type="fixed"/>
        <w:tblCellMar>
          <w:top w:w="102" w:type="dxa"/>
          <w:left w:w="62" w:type="dxa"/>
          <w:bottom w:w="102" w:type="dxa"/>
          <w:right w:w="62" w:type="dxa"/>
        </w:tblCellMar>
      </w:tblPr>
      <w:tblGrid>
        <w:gridCol w:w="562"/>
        <w:gridCol w:w="8498"/>
      </w:tblGrid>
      <w:tr>
        <w:tc>
          <w:tcPr>
            <w:tcW w:w="562" w:type="dxa"/>
            <w:tcBorders>
              <w:top w:val="nil"/>
              <w:left w:val="nil"/>
              <w:bottom w:val="nil"/>
              <w:right w:val="nil"/>
            </w:tcBorders>
          </w:tcPr>
          <w:bookmarkStart w:id="303" w:name="P303"/>
          <w:bookmarkEnd w:id="303"/>
          <w:p>
            <w:pPr>
              <w:pStyle w:val="0"/>
            </w:pPr>
            <w:r>
              <w:rPr>
                <w:sz w:val="20"/>
              </w:rPr>
              <w:t xml:space="preserve">[1]</w:t>
            </w:r>
          </w:p>
        </w:tc>
        <w:tc>
          <w:tcPr>
            <w:tcW w:w="8498" w:type="dxa"/>
            <w:tcBorders>
              <w:top w:val="nil"/>
              <w:left w:val="nil"/>
              <w:bottom w:val="nil"/>
              <w:right w:val="nil"/>
            </w:tcBorders>
          </w:tcPr>
          <w:p>
            <w:pPr>
              <w:pStyle w:val="0"/>
              <w:jc w:val="both"/>
            </w:pPr>
            <w:hyperlink w:history="0" r:id="rId92"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r>
              <w:rPr>
                <w:sz w:val="20"/>
              </w:rPr>
              <w:t xml:space="preserve"> Технический регламент Таможенного союза "О безопасности зерна"</w:t>
            </w:r>
          </w:p>
        </w:tc>
      </w:tr>
      <w:tr>
        <w:tc>
          <w:tcPr>
            <w:tcW w:w="562" w:type="dxa"/>
            <w:tcBorders>
              <w:top w:val="nil"/>
              <w:left w:val="nil"/>
              <w:bottom w:val="nil"/>
              <w:right w:val="nil"/>
            </w:tcBorders>
          </w:tcPr>
          <w:bookmarkStart w:id="305" w:name="P305"/>
          <w:bookmarkEnd w:id="305"/>
          <w:p>
            <w:pPr>
              <w:pStyle w:val="0"/>
            </w:pPr>
            <w:r>
              <w:rPr>
                <w:sz w:val="20"/>
              </w:rPr>
              <w:t xml:space="preserve">[2]</w:t>
            </w:r>
          </w:p>
        </w:tc>
        <w:tc>
          <w:tcPr>
            <w:tcW w:w="8498" w:type="dxa"/>
            <w:tcBorders>
              <w:top w:val="nil"/>
              <w:left w:val="nil"/>
              <w:bottom w:val="nil"/>
              <w:right w:val="nil"/>
            </w:tcBorders>
          </w:tcPr>
          <w:p>
            <w:pPr>
              <w:pStyle w:val="0"/>
              <w:jc w:val="both"/>
            </w:pPr>
            <w:hyperlink w:history="0" r:id="rId93" w:tooltip="Приказ Минхлебопродуктов СССР от 24.06.1988 N 185 &quot;Об утверждении Инструкции по хранению зерна, маслосемян, муки и крупы&quot; (вместе с &quot;Инструкцией N 9-7-88 по хранению зерна, маслосемян, муки и крупы&quot;) ------------ Утратил силу или отменен {КонсультантПлюс}">
              <w:r>
                <w:rPr>
                  <w:sz w:val="20"/>
                  <w:color w:val="0000ff"/>
                </w:rPr>
                <w:t xml:space="preserve">Инструкция</w:t>
              </w:r>
            </w:hyperlink>
            <w:r>
              <w:rPr>
                <w:sz w:val="20"/>
              </w:rPr>
              <w:t xml:space="preserve"> N 9-7-88 по хранению зерна, маслосемян, муки и крупы, утвержденная Приказом Министерства хлебопродуктов СССР от 24 июня 1988 г., N 185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16990-2017. Межгосударственный стандарт. Рожь. Технические условия"</w:t>
            <w:br/>
            <w:t>(введен в действие Приказом Росстандарта от 31...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E3711C8475DD87364F9F904D2358E247D9AD1F708E84CD49804D84EF645245729228D5D1EF4E64D9493E8C173x0G5N" TargetMode = "External"/>
	<Relationship Id="rId8" Type="http://schemas.openxmlformats.org/officeDocument/2006/relationships/hyperlink" Target="consultantplus://offline/ref=EE3711C8475DD87364F9FA11CB358E247E93D8F609E111DE905DD44CF14A7B523C33D55215E3F94D8B8FEAC3x7G3N" TargetMode = "External"/>
	<Relationship Id="rId9" Type="http://schemas.openxmlformats.org/officeDocument/2006/relationships/hyperlink" Target="consultantplus://offline/ref=EE3711C8475DD87364F9FA11CB358E247D90D1F309E111DE905DD44CF14A7B523C33D55215E3F94D8B8FEAC3x7G3N" TargetMode = "External"/>
	<Relationship Id="rId10" Type="http://schemas.openxmlformats.org/officeDocument/2006/relationships/hyperlink" Target="consultantplus://offline/ref=EE3711C8475DD87364F9F904D2358E247D9AD1F708E84CD49804D84EF64524573B22D5511CFDF84C9386BE903552CE3B1DA2EFE6D2A7505FxAG2N" TargetMode = "External"/>
	<Relationship Id="rId11" Type="http://schemas.openxmlformats.org/officeDocument/2006/relationships/hyperlink" Target="consultantplus://offline/ref=EE3711C8475DD87364F9E611D7358E247B91DFF603BC1BD6C951D64BFE157E472D6BDA5902FCF952978DE8xCG3N" TargetMode = "External"/>
	<Relationship Id="rId12" Type="http://schemas.openxmlformats.org/officeDocument/2006/relationships/hyperlink" Target="consultantplus://offline/ref=EE3711C8475DD87364F9E611D7358E247A94DFF003BC1BD6C951D64BFE157E472D6BDA5902FCF952978DE8xCG3N" TargetMode = "External"/>
	<Relationship Id="rId13" Type="http://schemas.openxmlformats.org/officeDocument/2006/relationships/hyperlink" Target="consultantplus://offline/ref=EE3711C8475DD87364F9E611D7358E247C95DCFC5EB6138FC553D144A1106B567564D14E1DFCE64E958FxEG8N" TargetMode = "External"/>
	<Relationship Id="rId14" Type="http://schemas.openxmlformats.org/officeDocument/2006/relationships/hyperlink" Target="consultantplus://offline/ref=EE3711C8475DD87364F9E611D7358E247B93DAF703BC1BD6C951D64BFE157E472D6BDA5902FCF952978DE8xCG3N" TargetMode = "External"/>
	<Relationship Id="rId15" Type="http://schemas.openxmlformats.org/officeDocument/2006/relationships/hyperlink" Target="consultantplus://offline/ref=EE3711C8475DD87364F9E611D7358E247B93DDF603BC1BD6C951D64BFE157E472D6BDA5902FCF952978DE8xCG3N" TargetMode = "External"/>
	<Relationship Id="rId16" Type="http://schemas.openxmlformats.org/officeDocument/2006/relationships/hyperlink" Target="consultantplus://offline/ref=EE3711C8475DD87364F9FA11CB358E247E9BDCF409E111DE905DD44CF14A7B523C33D55215E3F94D8B8FEAC3x7G3N" TargetMode = "External"/>
	<Relationship Id="rId17" Type="http://schemas.openxmlformats.org/officeDocument/2006/relationships/hyperlink" Target="consultantplus://offline/ref=EE3711C8475DD87364F9FA11CB358E247A94DDF303BC1BD6C951D64BFE157E472D6BDA5902FCF952978DE8xCG3N" TargetMode = "External"/>
	<Relationship Id="rId18" Type="http://schemas.openxmlformats.org/officeDocument/2006/relationships/hyperlink" Target="consultantplus://offline/ref=EE3711C8475DD87364F9FA11CB358E247D97D0F10EE111DE905DD44CF14A7B523C33D55215E3F94D8B8FEAC3x7G3N" TargetMode = "External"/>
	<Relationship Id="rId19" Type="http://schemas.openxmlformats.org/officeDocument/2006/relationships/hyperlink" Target="consultantplus://offline/ref=EE3711C8475DD87364F9FA11CB358E247E92D1F70CE111DE905DD44CF14A7B523C33D55215E3F94D8B8FEAC3x7G3N" TargetMode = "External"/>
	<Relationship Id="rId20" Type="http://schemas.openxmlformats.org/officeDocument/2006/relationships/hyperlink" Target="consultantplus://offline/ref=EE3711C8475DD87364F9FA11CB358E247D90D9F10DE111DE905DD44CF14A7B523C33D55215E3F94D8B8FEAC3x7G3N" TargetMode = "External"/>
	<Relationship Id="rId21" Type="http://schemas.openxmlformats.org/officeDocument/2006/relationships/hyperlink" Target="consultantplus://offline/ref=EE3711C8475DD87364F9FA11CB358E247C91DAF30CE111DE905DD44CF14A7B523C33D55215E3F94D8B8FEAC3x7G3N" TargetMode = "External"/>
	<Relationship Id="rId22" Type="http://schemas.openxmlformats.org/officeDocument/2006/relationships/hyperlink" Target="consultantplus://offline/ref=EE3711C8475DD87364F9FA11CB358E247690DBFC5EB6138FC553D144A1106B567564D14E1DFCE64E958FxEG8N" TargetMode = "External"/>
	<Relationship Id="rId23" Type="http://schemas.openxmlformats.org/officeDocument/2006/relationships/hyperlink" Target="consultantplus://offline/ref=EE3711C8475DD87364F9FA11CB358E247E95D8F10FE111DE905DD44CF14A7B523C33D55215E3F94D8B8FEAC3x7G3N" TargetMode = "External"/>
	<Relationship Id="rId24" Type="http://schemas.openxmlformats.org/officeDocument/2006/relationships/hyperlink" Target="consultantplus://offline/ref=EE3711C8475DD87364F9FA11CB358E247E94D0F109E111DE905DD44CF14A7B523C33D55215E3F94D8B8FEAC3x7G3N" TargetMode = "External"/>
	<Relationship Id="rId25" Type="http://schemas.openxmlformats.org/officeDocument/2006/relationships/hyperlink" Target="consultantplus://offline/ref=EE3711C8475DD87364F9FA11CB358E247A97DFFC5EB6138FC553D144A1106B567564D14E1DFCE64E958FxEG8N" TargetMode = "External"/>
	<Relationship Id="rId26" Type="http://schemas.openxmlformats.org/officeDocument/2006/relationships/hyperlink" Target="consultantplus://offline/ref=EE3711C8475DD87364F9FA11CB358E247E91DDFF0DE111DE905DD44CF14A7B523C33D55215E3F94D8B8FEAC3x7G3N" TargetMode = "External"/>
	<Relationship Id="rId27" Type="http://schemas.openxmlformats.org/officeDocument/2006/relationships/hyperlink" Target="consultantplus://offline/ref=EE3711C8475DD87364F9FA11CB358E247E94D0F50FE111DE905DD44CF14A7B523C33D55215E3F94D8B8FEAC3x7G3N" TargetMode = "External"/>
	<Relationship Id="rId28" Type="http://schemas.openxmlformats.org/officeDocument/2006/relationships/hyperlink" Target="consultantplus://offline/ref=EE3711C8475DD87364F9FA11CB358E247E94D1F209E111DE905DD44CF14A7B523C33D55215E3F94D8B8FEAC3x7G3N" TargetMode = "External"/>
	<Relationship Id="rId29" Type="http://schemas.openxmlformats.org/officeDocument/2006/relationships/hyperlink" Target="consultantplus://offline/ref=EE3711C8475DD87364F9FA11CB358E247B96D9F503BC1BD6C951D64BFE157E472D6BDA5902FCF952978DE8xCG3N" TargetMode = "External"/>
	<Relationship Id="rId30" Type="http://schemas.openxmlformats.org/officeDocument/2006/relationships/hyperlink" Target="consultantplus://offline/ref=EE3711C8475DD87364F9FA11CB358E247796DCF303BC1BD6C951D64BFE157E472D6BDA5902FCF952978DE8xCG3N" TargetMode = "External"/>
	<Relationship Id="rId31" Type="http://schemas.openxmlformats.org/officeDocument/2006/relationships/hyperlink" Target="consultantplus://offline/ref=EE3711C8475DD87364F9FA11CB358E247990D0F303BC1BD6C951D64BFE157E472D6BDA5902FCF952978DE8xCG3N" TargetMode = "External"/>
	<Relationship Id="rId32" Type="http://schemas.openxmlformats.org/officeDocument/2006/relationships/hyperlink" Target="consultantplus://offline/ref=EE3711C8475DD87364F9FA11CB358E247A97D8FC5EB6138FC553D144A1106B567564D14E1DFCE64E958FxEG8N" TargetMode = "External"/>
	<Relationship Id="rId33" Type="http://schemas.openxmlformats.org/officeDocument/2006/relationships/hyperlink" Target="consultantplus://offline/ref=EE3711C8475DD87364F9FA11CB358E247E93D9F503BC1BD6C951D64BFE157E472D6BDA5902FCF952978DE8xCG3N" TargetMode = "External"/>
	<Relationship Id="rId34" Type="http://schemas.openxmlformats.org/officeDocument/2006/relationships/hyperlink" Target="consultantplus://offline/ref=EE3711C8475DD87364F9FA11CB358E24769BDDFC5EB6138FC553D144A1106B567564D14E1DFCE64E958FxEG8N" TargetMode = "External"/>
	<Relationship Id="rId35" Type="http://schemas.openxmlformats.org/officeDocument/2006/relationships/hyperlink" Target="consultantplus://offline/ref=EE3711C8475DD87364F9FA11CB358E247E90DFF103BC1BD6C951D64BFE157E472D6BDA5902FCF952978DE8xCG3N" TargetMode = "External"/>
	<Relationship Id="rId36" Type="http://schemas.openxmlformats.org/officeDocument/2006/relationships/hyperlink" Target="consultantplus://offline/ref=EE3711C8475DD87364F9FA11CB358E24779AD1FC5EB6138FC553D144A1106B567564D14E1DFCE64E958FxEG8N" TargetMode = "External"/>
	<Relationship Id="rId37" Type="http://schemas.openxmlformats.org/officeDocument/2006/relationships/hyperlink" Target="consultantplus://offline/ref=EE3711C8475DD87364F9FA11CB358E247D93DAF503BC1BD6C951D64BFE157E472D6BDA5902FCF952978DE8xCG3N" TargetMode = "External"/>
	<Relationship Id="rId38" Type="http://schemas.openxmlformats.org/officeDocument/2006/relationships/hyperlink" Target="consultantplus://offline/ref=EE3711C8475DD87364F9FA11CB358E247C91DDF703BC1BD6C951D64BFE157E472D6BDA5902FCF952978DE8xCG3N" TargetMode = "External"/>
	<Relationship Id="rId39" Type="http://schemas.openxmlformats.org/officeDocument/2006/relationships/hyperlink" Target="consultantplus://offline/ref=EE3711C8475DD87364F9FA11CB358E247991D0F403BC1BD6C951D64BFE157E472D6BDA5902FCF952978DE8xCG3N" TargetMode = "External"/>
	<Relationship Id="rId40" Type="http://schemas.openxmlformats.org/officeDocument/2006/relationships/hyperlink" Target="consultantplus://offline/ref=EE3711C8475DD87364F9FA11CB358E247E9BDEFC5EB6138FC553D144A1106B567564D14E1DFCE64E958FxEG8N" TargetMode = "External"/>
	<Relationship Id="rId41" Type="http://schemas.openxmlformats.org/officeDocument/2006/relationships/hyperlink" Target="consultantplus://offline/ref=EE3711C8475DD87364F9FA11CB358E247B97D0F203BC1BD6C951D64BFE157E472D6BDA5902FCF952978DE8xCG3N" TargetMode = "External"/>
	<Relationship Id="rId42" Type="http://schemas.openxmlformats.org/officeDocument/2006/relationships/hyperlink" Target="consultantplus://offline/ref=EE3711C8475DD87364F9FA11CB358E247B97D1F403BC1BD6C951D64BFE157E472D6BDA5902FCF952978DE8xCG3N" TargetMode = "External"/>
	<Relationship Id="rId43" Type="http://schemas.openxmlformats.org/officeDocument/2006/relationships/hyperlink" Target="consultantplus://offline/ref=EE3711C8475DD87364F9FA11CB358E247B94DCF603BC1BD6C951D64BFE157E472D6BDA5902FCF952978DE8xCG3N" TargetMode = "External"/>
	<Relationship Id="rId44" Type="http://schemas.openxmlformats.org/officeDocument/2006/relationships/hyperlink" Target="consultantplus://offline/ref=EE3711C8475DD87364F9FA11CB358E247B94DCF003BC1BD6C951D64BFE157E472D6BDA5902FCF952978DE8xCG3N" TargetMode = "External"/>
	<Relationship Id="rId45" Type="http://schemas.openxmlformats.org/officeDocument/2006/relationships/hyperlink" Target="consultantplus://offline/ref=EE3711C8475DD87364F9FA11CB358E247996D1F203BC1BD6C951D64BFE157E472D6BDA5902FCF952978DE8xCG3N" TargetMode = "External"/>
	<Relationship Id="rId46" Type="http://schemas.openxmlformats.org/officeDocument/2006/relationships/hyperlink" Target="consultantplus://offline/ref=EE3711C8475DD87364F9FA11CB358E247996D1F103BC1BD6C951D64BFE157E472D6BDA5902FCF952978DE8xCG3N" TargetMode = "External"/>
	<Relationship Id="rId47" Type="http://schemas.openxmlformats.org/officeDocument/2006/relationships/hyperlink" Target="consultantplus://offline/ref=EE3711C8475DD87364F9FA11CB358E247897DDF403BC1BD6C951D64BFE157E472D6BDA5902FCF952978DE8xCG3N" TargetMode = "External"/>
	<Relationship Id="rId48" Type="http://schemas.openxmlformats.org/officeDocument/2006/relationships/hyperlink" Target="consultantplus://offline/ref=EE3711C8475DD87364F9FA11CB358E247E95DDF50BE111DE905DD44CF14A7B523C33D55215E3F94D8B8FEAC3x7G3N" TargetMode = "External"/>
	<Relationship Id="rId49" Type="http://schemas.openxmlformats.org/officeDocument/2006/relationships/hyperlink" Target="consultantplus://offline/ref=EE3711C8475DD87364F9FA11CB358E247B96D9F503BC1BD6C951D64BFE157E472D6BDA5902FCF952978DE8xCG3N" TargetMode = "External"/>
	<Relationship Id="rId50" Type="http://schemas.openxmlformats.org/officeDocument/2006/relationships/hyperlink" Target="consultantplus://offline/ref=EE3711C8475DD87364F9E611D7358E247B93DDF603BC1BD6C951D64BFE157E472D6BDA5902FCF952978DE8xCG3N" TargetMode = "External"/>
	<Relationship Id="rId51" Type="http://schemas.openxmlformats.org/officeDocument/2006/relationships/hyperlink" Target="consultantplus://offline/ref=EE3711C8475DD87364F9E611D7358E247B91DFF603BC1BD6C951D64BFE157E472D6BDA5902FCF952978DE8xCG3N" TargetMode = "External"/>
	<Relationship Id="rId52" Type="http://schemas.openxmlformats.org/officeDocument/2006/relationships/hyperlink" Target="consultantplus://offline/ref=EE3711C8475DD87364F9E611D7358E247B93DAF703BC1BD6C951D64BFE157E472D6BDA5902FCF952978DE8xCG3N" TargetMode = "External"/>
	<Relationship Id="rId53" Type="http://schemas.openxmlformats.org/officeDocument/2006/relationships/hyperlink" Target="consultantplus://offline/ref=EE3711C8475DD87364F9E611D7358E247C95DCFC5EB6138FC553D144A1106B567564D14E1DFCE64E958FxEG8N" TargetMode = "External"/>
	<Relationship Id="rId54" Type="http://schemas.openxmlformats.org/officeDocument/2006/relationships/hyperlink" Target="consultantplus://offline/ref=EE3711C8475DD87364F9E611D7358E247A94DFF003BC1BD6C951D64BFE157E472D6BDA5902FCF952978DE8xCG3N" TargetMode = "External"/>
	<Relationship Id="rId55" Type="http://schemas.openxmlformats.org/officeDocument/2006/relationships/hyperlink" Target="consultantplus://offline/ref=EE3711C8475DD87364F9FA11CB358E247E92D1F70CE111DE905DD44CF14A7B523C33D55215E3F94D8B8FEAC3x7G3N" TargetMode = "External"/>
	<Relationship Id="rId56" Type="http://schemas.openxmlformats.org/officeDocument/2006/relationships/hyperlink" Target="consultantplus://offline/ref=EE3711C8475DD87364F9FA11CB358E247E92D1F70CE111DE905DD44CF14A7B523C33D55215E3F94D8B8FEAC3x7G3N" TargetMode = "External"/>
	<Relationship Id="rId57" Type="http://schemas.openxmlformats.org/officeDocument/2006/relationships/hyperlink" Target="consultantplus://offline/ref=EE3711C8475DD87364F9FA11CB358E247A94DDF303BC1BD6C951D64BFE157E472D6BDA5902FCF952978DE8xCG3N" TargetMode = "External"/>
	<Relationship Id="rId58" Type="http://schemas.openxmlformats.org/officeDocument/2006/relationships/hyperlink" Target="consultantplus://offline/ref=EE3711C8475DD87364F9FA11CB358E247C91DAF30CE111DE905DD44CF14A7B523C33D55215E3F94D8B8FEAC3x7G3N" TargetMode = "External"/>
	<Relationship Id="rId59" Type="http://schemas.openxmlformats.org/officeDocument/2006/relationships/hyperlink" Target="consultantplus://offline/ref=EE3711C8475DD87364F9FA11CB358E247E93D9F503BC1BD6C951D64BFE157E472D6BDA5902FCF952978DE8xCG3N" TargetMode = "External"/>
	<Relationship Id="rId60" Type="http://schemas.openxmlformats.org/officeDocument/2006/relationships/hyperlink" Target="consultantplus://offline/ref=EE3711C8475DD87364F9FA11CB358E247D90D9F10DE111DE905DD44CF14A7B523C33D55215E3F94D8B8FEAC3x7G3N" TargetMode = "External"/>
	<Relationship Id="rId61" Type="http://schemas.openxmlformats.org/officeDocument/2006/relationships/hyperlink" Target="consultantplus://offline/ref=EE3711C8475DD87364F9FA11CB358E247690DBFC5EB6138FC553D144A1106B567564D14E1DFCE64E958FxEG8N" TargetMode = "External"/>
	<Relationship Id="rId62" Type="http://schemas.openxmlformats.org/officeDocument/2006/relationships/hyperlink" Target="consultantplus://offline/ref=EE3711C8475DD87364F9FA11CB358E247E9BDCF409E111DE905DD44CF14A7B523C33D55215E3F94D8B8FEAC3x7G3N" TargetMode = "External"/>
	<Relationship Id="rId63" Type="http://schemas.openxmlformats.org/officeDocument/2006/relationships/hyperlink" Target="consultantplus://offline/ref=EE3711C8475DD87364F9FA11CB358E247796DCF303BC1BD6C951D64BFE157E472D6BDA5902FCF952978DE8xCG3N" TargetMode = "External"/>
	<Relationship Id="rId64" Type="http://schemas.openxmlformats.org/officeDocument/2006/relationships/hyperlink" Target="consultantplus://offline/ref=EE3711C8475DD87364F9FA11CB358E24769BDDFC5EB6138FC553D144A1106B567564D14E1DFCE64E958FxEG8N" TargetMode = "External"/>
	<Relationship Id="rId65" Type="http://schemas.openxmlformats.org/officeDocument/2006/relationships/hyperlink" Target="consultantplus://offline/ref=EE3711C8475DD87364F9FA11CB358E247E94D0F109E111DE905DD44CF14A7B523C33D55215E3F94D8B8FEAC3x7G3N" TargetMode = "External"/>
	<Relationship Id="rId66" Type="http://schemas.openxmlformats.org/officeDocument/2006/relationships/hyperlink" Target="consultantplus://offline/ref=EE3711C8475DD87364F9FA11CB358E247991D0F403BC1BD6C951D64BFE157E472D6BDA5902FCF952978DE8xCG3N" TargetMode = "External"/>
	<Relationship Id="rId67" Type="http://schemas.openxmlformats.org/officeDocument/2006/relationships/hyperlink" Target="consultantplus://offline/ref=EE3711C8475DD87364F9FA11CB358E247E91DDFF0DE111DE905DD44CF14A7B523C33D55215E3F94D8B8FEAC3x7G3N" TargetMode = "External"/>
	<Relationship Id="rId68" Type="http://schemas.openxmlformats.org/officeDocument/2006/relationships/hyperlink" Target="consultantplus://offline/ref=EE3711C8475DD87364F9FA11CB358E247C91DDF703BC1BD6C951D64BFE157E472D6BDA5902FCF952978DE8xCG3N" TargetMode = "External"/>
	<Relationship Id="rId69" Type="http://schemas.openxmlformats.org/officeDocument/2006/relationships/hyperlink" Target="consultantplus://offline/ref=EE3711C8475DD87364F9FA11CB358E247B94DCF603BC1BD6C951D64BFE157E472D6BDA5902FCF952978DE8xCG3N" TargetMode = "External"/>
	<Relationship Id="rId70" Type="http://schemas.openxmlformats.org/officeDocument/2006/relationships/hyperlink" Target="consultantplus://offline/ref=EE3711C8475DD87364F9FA11CB358E247E90DFF103BC1BD6C951D64BFE157E472D6BDA5902FCF952978DE8xCG3N" TargetMode = "External"/>
	<Relationship Id="rId71" Type="http://schemas.openxmlformats.org/officeDocument/2006/relationships/hyperlink" Target="consultantplus://offline/ref=EE3711C8475DD87364F9FA11CB358E247E94D0F50FE111DE905DD44CF14A7B523C33D55215E3F94D8B8FEAC3x7G3N" TargetMode = "External"/>
	<Relationship Id="rId72" Type="http://schemas.openxmlformats.org/officeDocument/2006/relationships/hyperlink" Target="consultantplus://offline/ref=EE3711C8475DD87364F9FA11CB358E247A97D8FC5EB6138FC553D144A1106B567564D14E1DFCE64E958FxEG8N" TargetMode = "External"/>
	<Relationship Id="rId73" Type="http://schemas.openxmlformats.org/officeDocument/2006/relationships/hyperlink" Target="consultantplus://offline/ref=EE3711C8475DD87364F9FA11CB358E247E90DFF103BC1BD6C951D64BFE157E472D6BDA5902FCF952978DE8xCG3N" TargetMode = "External"/>
	<Relationship Id="rId74" Type="http://schemas.openxmlformats.org/officeDocument/2006/relationships/hyperlink" Target="consultantplus://offline/ref=EE3711C8475DD87364F9FA11CB358E247E94D1F209E111DE905DD44CF14A7B523C33D55215E3F94D8B8FEAC3x7G3N" TargetMode = "External"/>
	<Relationship Id="rId75" Type="http://schemas.openxmlformats.org/officeDocument/2006/relationships/hyperlink" Target="consultantplus://offline/ref=EE3711C8475DD87364F9FA11CB358E247A97D8FC5EB6138FC553D144A1106B567564D14E1DFCE64E958FxEG8N" TargetMode = "External"/>
	<Relationship Id="rId76" Type="http://schemas.openxmlformats.org/officeDocument/2006/relationships/hyperlink" Target="consultantplus://offline/ref=EE3711C8475DD87364F9FA11CB358E247E90DFF103BC1BD6C951D64BFE157E472D6BDA5902FCF952978DE8xCG3N" TargetMode = "External"/>
	<Relationship Id="rId77" Type="http://schemas.openxmlformats.org/officeDocument/2006/relationships/hyperlink" Target="consultantplus://offline/ref=EE3711C8475DD87364F9FA11CB358E247D97D0F10EE111DE905DD44CF14A7B523C33D55215E3F94D8B8FEAC3x7G3N" TargetMode = "External"/>
	<Relationship Id="rId78" Type="http://schemas.openxmlformats.org/officeDocument/2006/relationships/hyperlink" Target="consultantplus://offline/ref=EE3711C8475DD87364F9FA11CB358E247D93DAF503BC1BD6C951D64BFE157E472D6BDA5902FCF952978DE8xCG3N" TargetMode = "External"/>
	<Relationship Id="rId79" Type="http://schemas.openxmlformats.org/officeDocument/2006/relationships/hyperlink" Target="consultantplus://offline/ref=EE3711C8475DD87364F9FA11CB358E247A97DFFC5EB6138FC553D144A1106B567564D14E1DFCE64E958FxEG8N" TargetMode = "External"/>
	<Relationship Id="rId80" Type="http://schemas.openxmlformats.org/officeDocument/2006/relationships/hyperlink" Target="consultantplus://offline/ref=EE3711C8475DD87364F9FA11CB358E247B97D0F203BC1BD6C951D64BFE157E472D6BDA5902FCF952978DE8xCG3N" TargetMode = "External"/>
	<Relationship Id="rId81" Type="http://schemas.openxmlformats.org/officeDocument/2006/relationships/hyperlink" Target="consultantplus://offline/ref=EE3711C8475DD87364F9FA11CB358E247E9BDEFC5EB6138FC553D144A1106B567564D14E1DFCE64E958FxEG8N" TargetMode = "External"/>
	<Relationship Id="rId82" Type="http://schemas.openxmlformats.org/officeDocument/2006/relationships/hyperlink" Target="consultantplus://offline/ref=EE3711C8475DD87364F9FA11CB358E24779AD1FC5EB6138FC553D144A1106B567564D14E1DFCE64E958FxEG8N" TargetMode = "External"/>
	<Relationship Id="rId83" Type="http://schemas.openxmlformats.org/officeDocument/2006/relationships/hyperlink" Target="consultantplus://offline/ref=EE3711C8475DD87364F9FA11CB358E247B94DCF003BC1BD6C951D64BFE157E472D6BDA5902FCF952978DE8xCG3N" TargetMode = "External"/>
	<Relationship Id="rId84" Type="http://schemas.openxmlformats.org/officeDocument/2006/relationships/hyperlink" Target="consultantplus://offline/ref=EE3711C8475DD87364F9FA11CB358E247990D0F303BC1BD6C951D64BFE157E472D6BDA5902FCF952978DE8xCG3N" TargetMode = "External"/>
	<Relationship Id="rId85" Type="http://schemas.openxmlformats.org/officeDocument/2006/relationships/hyperlink" Target="consultantplus://offline/ref=EE3711C8475DD87364F9FA11CB358E247B97D1F403BC1BD6C951D64BFE157E472D6BDA5902FCF952978DE8xCG3N" TargetMode = "External"/>
	<Relationship Id="rId86" Type="http://schemas.openxmlformats.org/officeDocument/2006/relationships/hyperlink" Target="consultantplus://offline/ref=EE3711C8475DD87364F9FA11CB358E247E95DDF50BE111DE905DD44CF14A7B523C33D55215E3F94D8B8FEAC3x7G3N" TargetMode = "External"/>
	<Relationship Id="rId87" Type="http://schemas.openxmlformats.org/officeDocument/2006/relationships/hyperlink" Target="consultantplus://offline/ref=EE3711C8475DD87364F9FA11CB358E247990D0F303BC1BD6C951D64BFE157E472D6BDA5902FCF952978DE8xCG3N" TargetMode = "External"/>
	<Relationship Id="rId88" Type="http://schemas.openxmlformats.org/officeDocument/2006/relationships/hyperlink" Target="consultantplus://offline/ref=EE3711C8475DD87364F9FA11CB358E247897DDF403BC1BD6C951D64BFE157E472D6BDA5902FCF952978DE8xCG3N" TargetMode = "External"/>
	<Relationship Id="rId89" Type="http://schemas.openxmlformats.org/officeDocument/2006/relationships/hyperlink" Target="consultantplus://offline/ref=EE3711C8475DD87364F9FA11CB358E247996D1F203BC1BD6C951D64BFE157E472D6BDA5902FCF952978DE8xCG3N" TargetMode = "External"/>
	<Relationship Id="rId90" Type="http://schemas.openxmlformats.org/officeDocument/2006/relationships/hyperlink" Target="consultantplus://offline/ref=EE3711C8475DD87364F9FA11CB358E247996D1F103BC1BD6C951D64BFE157E472D6BDA5902FCF952978DE8xCG3N" TargetMode = "External"/>
	<Relationship Id="rId91" Type="http://schemas.openxmlformats.org/officeDocument/2006/relationships/hyperlink" Target="consultantplus://offline/ref=EE3711C8475DD87364F9F904D2358E247D9AD0F70DE94CD49804D84EF64524573B22D5511CFDFD4A9286BE903552CE3B1DA2EFE6D2A7505FxAG2N" TargetMode = "External"/>
	<Relationship Id="rId92" Type="http://schemas.openxmlformats.org/officeDocument/2006/relationships/hyperlink" Target="consultantplus://offline/ref=EE3711C8475DD87364F9F904D2358E247D9AD0F70DE94CD49804D84EF64524573B22D5511CFDF84E9286BE903552CE3B1DA2EFE6D2A7505FxAG2N" TargetMode = "External"/>
	<Relationship Id="rId93" Type="http://schemas.openxmlformats.org/officeDocument/2006/relationships/hyperlink" Target="consultantplus://offline/ref=EE3711C8475DD87364F9F904D2358E247792D1F708E111DE905DD44CF14A7B403C6BD9501CFDF94C9ED9BB85240AC1300ABDEFF9CEA552x5G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16990-2017. Межгосударственный стандарт. Рожь. Технические условия"
(введен в действие Приказом Росстандарта от 31.10.2017 N 1592-ст)</dc:title>
  <dcterms:created xsi:type="dcterms:W3CDTF">2022-11-29T13:06:48Z</dcterms:created>
</cp:coreProperties>
</file>