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19092-2021. Межгосударственный стандарт. Гречиха. Технические условия"</w:t>
              <w:br/>
              <w:t xml:space="preserve">(введен в действие Приказом Росстандарта от 23.11.2021 N 1548-ст)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23.11.2021 N 1548-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23 ноября 2021 г. N 1548-ст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both"/>
      </w:pPr>
      <w:r>
        <w:rPr>
          <w:sz w:val="20"/>
        </w:rPr>
      </w:r>
    </w:p>
    <w:p>
      <w:pPr>
        <w:pStyle w:val="2"/>
        <w:jc w:val="center"/>
      </w:pPr>
      <w:r>
        <w:rPr>
          <w:sz w:val="20"/>
          <w:b w:val="on"/>
        </w:rPr>
        <w:t xml:space="preserve">ГРЕЧИХА</w:t>
      </w:r>
    </w:p>
    <w:p>
      <w:pPr>
        <w:pStyle w:val="2"/>
        <w:jc w:val="both"/>
      </w:pPr>
      <w:r>
        <w:rPr>
          <w:sz w:val="20"/>
        </w:rPr>
      </w:r>
    </w:p>
    <w:p>
      <w:pPr>
        <w:pStyle w:val="2"/>
        <w:jc w:val="center"/>
      </w:pPr>
      <w:r>
        <w:rPr>
          <w:sz w:val="20"/>
          <w:b w:val="on"/>
        </w:rPr>
        <w:t xml:space="preserve">ТЕХНИЧЕСКИЕ УСЛОВИЯ</w:t>
      </w:r>
    </w:p>
    <w:p>
      <w:pPr>
        <w:pStyle w:val="2"/>
        <w:jc w:val="both"/>
      </w:pPr>
      <w:r>
        <w:rPr>
          <w:sz w:val="20"/>
        </w:rPr>
      </w:r>
    </w:p>
    <w:p>
      <w:pPr>
        <w:pStyle w:val="2"/>
        <w:jc w:val="center"/>
      </w:pPr>
      <w:r>
        <w:rPr>
          <w:sz w:val="20"/>
        </w:rPr>
        <w:t xml:space="preserve">Buckwheat. Specifications</w:t>
      </w:r>
    </w:p>
    <w:p>
      <w:pPr>
        <w:pStyle w:val="2"/>
        <w:jc w:val="both"/>
      </w:pPr>
      <w:r>
        <w:rPr>
          <w:sz w:val="20"/>
        </w:rPr>
      </w:r>
    </w:p>
    <w:p>
      <w:pPr>
        <w:pStyle w:val="2"/>
        <w:jc w:val="center"/>
      </w:pPr>
      <w:r>
        <w:rPr>
          <w:sz w:val="20"/>
          <w:b w:val="on"/>
        </w:rPr>
        <w:t xml:space="preserve">ГОСТ 19092-2021</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января 2022 года</w:t>
      </w:r>
    </w:p>
    <w:p>
      <w:pPr>
        <w:pStyle w:val="0"/>
        <w:ind w:firstLine="540"/>
        <w:jc w:val="both"/>
      </w:pPr>
      <w:r>
        <w:rPr>
          <w:sz w:val="20"/>
        </w:rPr>
      </w:r>
    </w:p>
    <w:bookmarkStart w:id="22" w:name="P22"/>
    <w:bookmarkEnd w:id="22"/>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9"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0"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26 августа 2021 г. N 142-П)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1530"/>
        <w:gridCol w:w="4988"/>
      </w:tblGrid>
      <w:tr>
        <w:tblPrEx>
          <w:tblBorders>
            <w:insideH w:val="single" w:sz="4"/>
          </w:tblBorders>
        </w:tblPrEx>
        <w:tc>
          <w:tcPr>
            <w:tcW w:w="2551"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530" w:type="dxa"/>
            <w:vAlign w:val="center"/>
            <w:tcBorders>
              <w:top w:val="single" w:sz="4"/>
              <w:bottom w:val="single" w:sz="4"/>
            </w:tcBorders>
          </w:tcPr>
          <w:p>
            <w:pPr>
              <w:pStyle w:val="0"/>
              <w:jc w:val="center"/>
            </w:pPr>
            <w:r>
              <w:rPr>
                <w:sz w:val="20"/>
              </w:rPr>
              <w:t xml:space="preserve">Код страны по МК (ИСО 3166) 004-97</w:t>
            </w:r>
          </w:p>
        </w:tc>
        <w:tc>
          <w:tcPr>
            <w:tcW w:w="4988"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551" w:type="dxa"/>
            <w:tcBorders>
              <w:top w:val="single" w:sz="4"/>
              <w:bottom w:val="nil"/>
            </w:tcBorders>
          </w:tcPr>
          <w:p>
            <w:pPr>
              <w:pStyle w:val="0"/>
            </w:pPr>
            <w:r>
              <w:rPr>
                <w:sz w:val="20"/>
              </w:rPr>
              <w:t xml:space="preserve">Армения</w:t>
            </w:r>
          </w:p>
        </w:tc>
        <w:tc>
          <w:tcPr>
            <w:tcW w:w="1530" w:type="dxa"/>
            <w:tcBorders>
              <w:top w:val="single" w:sz="4"/>
              <w:bottom w:val="nil"/>
            </w:tcBorders>
          </w:tcPr>
          <w:p>
            <w:pPr>
              <w:pStyle w:val="0"/>
              <w:jc w:val="center"/>
            </w:pPr>
            <w:r>
              <w:rPr>
                <w:sz w:val="20"/>
              </w:rPr>
              <w:t xml:space="preserve">AM</w:t>
            </w:r>
          </w:p>
        </w:tc>
        <w:tc>
          <w:tcPr>
            <w:tcW w:w="4988" w:type="dxa"/>
            <w:tcBorders>
              <w:top w:val="single" w:sz="4"/>
              <w:bottom w:val="nil"/>
            </w:tcBorders>
          </w:tcPr>
          <w:p>
            <w:pPr>
              <w:pStyle w:val="0"/>
            </w:pPr>
            <w:r>
              <w:rPr>
                <w:sz w:val="20"/>
              </w:rPr>
              <w:t xml:space="preserve">ЗАО "Национальный орган по стандартизации и метрологии" Республики Армения</w:t>
            </w:r>
          </w:p>
        </w:tc>
      </w:tr>
      <w:tr>
        <w:tc>
          <w:tcPr>
            <w:tcW w:w="2551" w:type="dxa"/>
            <w:tcBorders>
              <w:top w:val="nil"/>
              <w:bottom w:val="nil"/>
            </w:tcBorders>
          </w:tcPr>
          <w:p>
            <w:pPr>
              <w:pStyle w:val="0"/>
            </w:pPr>
            <w:r>
              <w:rPr>
                <w:sz w:val="20"/>
              </w:rPr>
              <w:t xml:space="preserve">Беларусь</w:t>
            </w:r>
          </w:p>
        </w:tc>
        <w:tc>
          <w:tcPr>
            <w:tcW w:w="1530" w:type="dxa"/>
            <w:tcBorders>
              <w:top w:val="nil"/>
              <w:bottom w:val="nil"/>
            </w:tcBorders>
          </w:tcPr>
          <w:p>
            <w:pPr>
              <w:pStyle w:val="0"/>
              <w:jc w:val="center"/>
            </w:pPr>
            <w:r>
              <w:rPr>
                <w:sz w:val="20"/>
              </w:rPr>
              <w:t xml:space="preserve">BY</w:t>
            </w:r>
          </w:p>
        </w:tc>
        <w:tc>
          <w:tcPr>
            <w:tcW w:w="4988" w:type="dxa"/>
            <w:tcBorders>
              <w:top w:val="nil"/>
              <w:bottom w:val="nil"/>
            </w:tcBorders>
          </w:tcPr>
          <w:p>
            <w:pPr>
              <w:pStyle w:val="0"/>
            </w:pPr>
            <w:r>
              <w:rPr>
                <w:sz w:val="20"/>
              </w:rPr>
              <w:t xml:space="preserve">Госстандарт Республики Беларусь</w:t>
            </w:r>
          </w:p>
        </w:tc>
      </w:tr>
      <w:tr>
        <w:tc>
          <w:tcPr>
            <w:tcW w:w="2551" w:type="dxa"/>
            <w:tcBorders>
              <w:top w:val="nil"/>
              <w:bottom w:val="nil"/>
            </w:tcBorders>
          </w:tcPr>
          <w:p>
            <w:pPr>
              <w:pStyle w:val="0"/>
            </w:pPr>
            <w:r>
              <w:rPr>
                <w:sz w:val="20"/>
              </w:rPr>
              <w:t xml:space="preserve">Казахстан</w:t>
            </w:r>
          </w:p>
        </w:tc>
        <w:tc>
          <w:tcPr>
            <w:tcW w:w="1530" w:type="dxa"/>
            <w:tcBorders>
              <w:top w:val="nil"/>
              <w:bottom w:val="nil"/>
            </w:tcBorders>
          </w:tcPr>
          <w:p>
            <w:pPr>
              <w:pStyle w:val="0"/>
              <w:jc w:val="center"/>
            </w:pPr>
            <w:r>
              <w:rPr>
                <w:sz w:val="20"/>
              </w:rPr>
              <w:t xml:space="preserve">KZ</w:t>
            </w:r>
          </w:p>
        </w:tc>
        <w:tc>
          <w:tcPr>
            <w:tcW w:w="4988" w:type="dxa"/>
            <w:tcBorders>
              <w:top w:val="nil"/>
              <w:bottom w:val="nil"/>
            </w:tcBorders>
          </w:tcPr>
          <w:p>
            <w:pPr>
              <w:pStyle w:val="0"/>
            </w:pPr>
            <w:r>
              <w:rPr>
                <w:sz w:val="20"/>
              </w:rPr>
              <w:t xml:space="preserve">Госстандарт Республики Казахстан</w:t>
            </w:r>
          </w:p>
        </w:tc>
      </w:tr>
      <w:tr>
        <w:tc>
          <w:tcPr>
            <w:tcW w:w="2551" w:type="dxa"/>
            <w:tcBorders>
              <w:top w:val="nil"/>
              <w:bottom w:val="nil"/>
            </w:tcBorders>
          </w:tcPr>
          <w:p>
            <w:pPr>
              <w:pStyle w:val="0"/>
            </w:pPr>
            <w:r>
              <w:rPr>
                <w:sz w:val="20"/>
              </w:rPr>
              <w:t xml:space="preserve">Киргизия</w:t>
            </w:r>
          </w:p>
        </w:tc>
        <w:tc>
          <w:tcPr>
            <w:tcW w:w="1530" w:type="dxa"/>
            <w:tcBorders>
              <w:top w:val="nil"/>
              <w:bottom w:val="nil"/>
            </w:tcBorders>
          </w:tcPr>
          <w:p>
            <w:pPr>
              <w:pStyle w:val="0"/>
              <w:jc w:val="center"/>
            </w:pPr>
            <w:r>
              <w:rPr>
                <w:sz w:val="20"/>
              </w:rPr>
              <w:t xml:space="preserve">KG</w:t>
            </w:r>
          </w:p>
        </w:tc>
        <w:tc>
          <w:tcPr>
            <w:tcW w:w="4988" w:type="dxa"/>
            <w:tcBorders>
              <w:top w:val="nil"/>
              <w:bottom w:val="nil"/>
            </w:tcBorders>
          </w:tcPr>
          <w:p>
            <w:pPr>
              <w:pStyle w:val="0"/>
            </w:pPr>
            <w:r>
              <w:rPr>
                <w:sz w:val="20"/>
              </w:rPr>
              <w:t xml:space="preserve">Кыргызстандарт</w:t>
            </w:r>
          </w:p>
        </w:tc>
      </w:tr>
      <w:tr>
        <w:tc>
          <w:tcPr>
            <w:tcW w:w="2551" w:type="dxa"/>
            <w:tcBorders>
              <w:top w:val="nil"/>
              <w:bottom w:val="nil"/>
            </w:tcBorders>
          </w:tcPr>
          <w:p>
            <w:pPr>
              <w:pStyle w:val="0"/>
            </w:pPr>
            <w:r>
              <w:rPr>
                <w:sz w:val="20"/>
              </w:rPr>
              <w:t xml:space="preserve">Россия</w:t>
            </w:r>
          </w:p>
        </w:tc>
        <w:tc>
          <w:tcPr>
            <w:tcW w:w="1530" w:type="dxa"/>
            <w:tcBorders>
              <w:top w:val="nil"/>
              <w:bottom w:val="nil"/>
            </w:tcBorders>
          </w:tcPr>
          <w:p>
            <w:pPr>
              <w:pStyle w:val="0"/>
              <w:jc w:val="center"/>
            </w:pPr>
            <w:r>
              <w:rPr>
                <w:sz w:val="20"/>
              </w:rPr>
              <w:t xml:space="preserve">RU</w:t>
            </w:r>
          </w:p>
        </w:tc>
        <w:tc>
          <w:tcPr>
            <w:tcW w:w="4988" w:type="dxa"/>
            <w:tcBorders>
              <w:top w:val="nil"/>
              <w:bottom w:val="nil"/>
            </w:tcBorders>
          </w:tcPr>
          <w:p>
            <w:pPr>
              <w:pStyle w:val="0"/>
            </w:pPr>
            <w:r>
              <w:rPr>
                <w:sz w:val="20"/>
              </w:rPr>
              <w:t xml:space="preserve">Росстандарт</w:t>
            </w:r>
          </w:p>
        </w:tc>
      </w:tr>
      <w:tr>
        <w:tc>
          <w:tcPr>
            <w:tcW w:w="2551" w:type="dxa"/>
            <w:tcBorders>
              <w:top w:val="nil"/>
              <w:bottom w:val="nil"/>
            </w:tcBorders>
          </w:tcPr>
          <w:p>
            <w:pPr>
              <w:pStyle w:val="0"/>
            </w:pPr>
            <w:r>
              <w:rPr>
                <w:sz w:val="20"/>
              </w:rPr>
              <w:t xml:space="preserve">Таджикистан</w:t>
            </w:r>
          </w:p>
        </w:tc>
        <w:tc>
          <w:tcPr>
            <w:tcW w:w="1530" w:type="dxa"/>
            <w:tcBorders>
              <w:top w:val="nil"/>
              <w:bottom w:val="nil"/>
            </w:tcBorders>
          </w:tcPr>
          <w:p>
            <w:pPr>
              <w:pStyle w:val="0"/>
              <w:jc w:val="center"/>
            </w:pPr>
            <w:r>
              <w:rPr>
                <w:sz w:val="20"/>
              </w:rPr>
              <w:t xml:space="preserve">TJ</w:t>
            </w:r>
          </w:p>
        </w:tc>
        <w:tc>
          <w:tcPr>
            <w:tcW w:w="4988" w:type="dxa"/>
            <w:tcBorders>
              <w:top w:val="nil"/>
              <w:bottom w:val="nil"/>
            </w:tcBorders>
          </w:tcPr>
          <w:p>
            <w:pPr>
              <w:pStyle w:val="0"/>
            </w:pPr>
            <w:r>
              <w:rPr>
                <w:sz w:val="20"/>
              </w:rPr>
              <w:t xml:space="preserve">Таджикстандарт</w:t>
            </w:r>
          </w:p>
        </w:tc>
      </w:tr>
      <w:tr>
        <w:tc>
          <w:tcPr>
            <w:tcW w:w="2551" w:type="dxa"/>
            <w:tcBorders>
              <w:top w:val="nil"/>
              <w:bottom w:val="single" w:sz="4"/>
            </w:tcBorders>
          </w:tcPr>
          <w:p>
            <w:pPr>
              <w:pStyle w:val="0"/>
            </w:pPr>
            <w:r>
              <w:rPr>
                <w:sz w:val="20"/>
              </w:rPr>
              <w:t xml:space="preserve">Узбекистан</w:t>
            </w:r>
          </w:p>
        </w:tc>
        <w:tc>
          <w:tcPr>
            <w:tcW w:w="1530" w:type="dxa"/>
            <w:tcBorders>
              <w:top w:val="nil"/>
              <w:bottom w:val="single" w:sz="4"/>
            </w:tcBorders>
          </w:tcPr>
          <w:p>
            <w:pPr>
              <w:pStyle w:val="0"/>
              <w:jc w:val="center"/>
            </w:pPr>
            <w:r>
              <w:rPr>
                <w:sz w:val="20"/>
              </w:rPr>
              <w:t xml:space="preserve">UZ</w:t>
            </w:r>
          </w:p>
        </w:tc>
        <w:tc>
          <w:tcPr>
            <w:tcW w:w="4988"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1" w:tooltip="Приказ Росстандарта от 23.11.2021 N 1548-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23 ноября 2021 г. N 1548-ст межгосударственный стандарт ГОСТ 19092-2021 введен в действие в качестве национального стандарта Российской Федерации с 1 января 2022 г.</w:t>
      </w:r>
    </w:p>
    <w:p>
      <w:pPr>
        <w:pStyle w:val="0"/>
        <w:spacing w:before="200" w:line-rule="auto"/>
        <w:ind w:firstLine="540"/>
        <w:jc w:val="both"/>
      </w:pPr>
      <w:r>
        <w:rPr>
          <w:sz w:val="20"/>
        </w:rPr>
        <w:t xml:space="preserve">5 ВВЕДЕН ВПЕРВЫЕ</w:t>
      </w:r>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зерно гречихи, поставляемое на пищевые цели, в том числе для детского питания.</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2"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3" w:tooltip="Ссылка на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4"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5"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6"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7" w:tooltip="&quot;ГОСТ 10843-76. Государственный стандарт Союза ССР. Зерно. Метод определения пленчатости&quot; (утв. и введен в действие Постановлением Госстандарта СССР от 09.01.1976 N 74) {КонсультантПлюс}">
        <w:r>
          <w:rPr>
            <w:sz w:val="20"/>
            <w:color w:val="0000ff"/>
          </w:rPr>
          <w:t xml:space="preserve">ГОСТ 10843</w:t>
        </w:r>
      </w:hyperlink>
      <w:r>
        <w:rPr>
          <w:sz w:val="20"/>
        </w:rPr>
        <w:t xml:space="preserve"> Зерно. Метод определения пленчатости</w:t>
      </w:r>
    </w:p>
    <w:p>
      <w:pPr>
        <w:pStyle w:val="0"/>
        <w:spacing w:before="200" w:line-rule="auto"/>
        <w:ind w:firstLine="540"/>
        <w:jc w:val="both"/>
      </w:pPr>
      <w:hyperlink w:history="0" r:id="rId18"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 Зерно. Методы определения запаха и цвета</w:t>
      </w:r>
    </w:p>
    <w:p>
      <w:pPr>
        <w:pStyle w:val="0"/>
        <w:spacing w:before="200" w:line-rule="auto"/>
        <w:ind w:firstLine="540"/>
        <w:jc w:val="both"/>
      </w:pPr>
      <w:hyperlink w:history="0" r:id="rId19"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0"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Зерно. Правила приемки и методы отбора проб</w:t>
      </w:r>
    </w:p>
    <w:p>
      <w:pPr>
        <w:pStyle w:val="0"/>
        <w:spacing w:before="200" w:line-rule="auto"/>
        <w:ind w:firstLine="540"/>
        <w:jc w:val="both"/>
      </w:pPr>
      <w:hyperlink w:history="0" r:id="rId21"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22"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 Зерно. Метод определения влажности</w:t>
      </w:r>
    </w:p>
    <w:p>
      <w:pPr>
        <w:pStyle w:val="0"/>
        <w:spacing w:before="200" w:line-rule="auto"/>
        <w:ind w:firstLine="540"/>
        <w:jc w:val="both"/>
      </w:pPr>
      <w:hyperlink w:history="0" r:id="rId23"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 Зерно. Методы определения зараженности вредителями</w:t>
      </w:r>
    </w:p>
    <w:p>
      <w:pPr>
        <w:pStyle w:val="0"/>
        <w:spacing w:before="200" w:line-rule="auto"/>
        <w:ind w:firstLine="540"/>
        <w:jc w:val="both"/>
      </w:pPr>
      <w:hyperlink w:history="0" r:id="rId24"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25"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26"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27"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28"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29"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 Зерно, крупа, мука, толокно для продуктов детского питания. Метод определения кислотности</w:t>
      </w:r>
    </w:p>
    <w:p>
      <w:pPr>
        <w:pStyle w:val="0"/>
        <w:spacing w:before="200" w:line-rule="auto"/>
        <w:ind w:firstLine="540"/>
        <w:jc w:val="both"/>
      </w:pPr>
      <w:hyperlink w:history="0" r:id="rId30" w:tooltip="&quot;ГОСТ 26972-86. Государственный стандарт Союза ССР. Зерно, крупа, мука, толокно для продуктов детского питания. Методы микробиологического анализа&quot; (утв. и введен в действие Постановлением Госстандарта СССР от 20.08.1986 N 2439) {КонсультантПлюс}">
        <w:r>
          <w:rPr>
            <w:sz w:val="20"/>
            <w:color w:val="0000ff"/>
          </w:rPr>
          <w:t xml:space="preserve">ГОСТ 26972</w:t>
        </w:r>
      </w:hyperlink>
      <w:r>
        <w:rPr>
          <w:sz w:val="20"/>
        </w:rPr>
        <w:t xml:space="preserve"> Зерно, крупа, мука, толокно для продуктов детского питания. Методы микробиологического анализа</w:t>
      </w:r>
    </w:p>
    <w:p>
      <w:pPr>
        <w:pStyle w:val="0"/>
        <w:spacing w:before="200" w:line-rule="auto"/>
        <w:ind w:firstLine="540"/>
        <w:jc w:val="both"/>
      </w:pPr>
      <w:hyperlink w:history="0" r:id="rId31"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2"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33"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4"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5"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6"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37"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38"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39" w:tooltip="&quot;ГОСТ 31646-2012. Межгосударственный стандарт. Зерновые культуры. Метод определения содержания фузариозных зерен&quot; (введен в действие Приказом Росстандарта от 20.09.2012 N 373-ст) {КонсультантПлюс}">
        <w:r>
          <w:rPr>
            <w:sz w:val="20"/>
            <w:color w:val="0000ff"/>
          </w:rPr>
          <w:t xml:space="preserve">ГОСТ 31646</w:t>
        </w:r>
      </w:hyperlink>
      <w:r>
        <w:rPr>
          <w:sz w:val="20"/>
        </w:rPr>
        <w:t xml:space="preserve"> Зерновые культуры. Метод определения содержания фузариозных зерен</w:t>
      </w:r>
    </w:p>
    <w:p>
      <w:pPr>
        <w:pStyle w:val="0"/>
        <w:spacing w:before="200" w:line-rule="auto"/>
        <w:ind w:firstLine="540"/>
        <w:jc w:val="both"/>
      </w:pPr>
      <w:hyperlink w:history="0" r:id="rId40"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1"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2"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3"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4"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5"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6"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47"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48"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49"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А методом высокоэффективной жидкостной хроматографии</w:t>
      </w:r>
    </w:p>
    <w:p>
      <w:pPr>
        <w:pStyle w:val="0"/>
        <w:spacing w:before="200" w:line-rule="auto"/>
        <w:ind w:firstLine="540"/>
        <w:jc w:val="both"/>
      </w:pPr>
      <w:hyperlink w:history="0" r:id="rId50"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1"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Корма, комбикорма, комбикормовое сырье. Определение содержания микотоксинов прямым твердофазным конкурентным иммуноферментным методом</w:t>
      </w:r>
    </w:p>
    <w:p>
      <w:pPr>
        <w:pStyle w:val="0"/>
        <w:spacing w:before="200" w:line-rule="auto"/>
        <w:ind w:firstLine="540"/>
        <w:jc w:val="both"/>
      </w:pPr>
      <w:hyperlink w:history="0" r:id="rId52"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3"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hyperlink w:history="0" r:id="rId54"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 Продукты пищевые и корма для животных. Определение ртути методом атомно-абсорбционной спектрометрии на основе эффекта Зеемана</w:t>
      </w:r>
    </w:p>
    <w:p>
      <w:pPr>
        <w:pStyle w:val="0"/>
        <w:spacing w:before="200" w:line-rule="auto"/>
        <w:ind w:firstLine="540"/>
        <w:jc w:val="both"/>
      </w:pPr>
      <w:hyperlink w:history="0" r:id="rId55"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Продукты пищевые. Определение следовых элементов. Критерии эффективности методик выполнения измерений, общие положения и способы подготовки проб</w:t>
      </w:r>
    </w:p>
    <w:p>
      <w:pPr>
        <w:pStyle w:val="0"/>
        <w:spacing w:before="200" w:line-rule="auto"/>
        <w:ind w:firstLine="540"/>
        <w:jc w:val="both"/>
      </w:pPr>
      <w:hyperlink w:history="0" r:id="rId56"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w:t>
      </w:r>
    </w:p>
    <w:p>
      <w:pPr>
        <w:pStyle w:val="0"/>
        <w:spacing w:before="200" w:line-rule="auto"/>
        <w:ind w:firstLine="540"/>
        <w:jc w:val="both"/>
      </w:pPr>
      <w:r>
        <w:rPr>
          <w:sz w:val="20"/>
        </w:rPr>
        <w:t xml:space="preserve">ГОСТ EN 14084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r>
        <w:rPr>
          <w:sz w:val="20"/>
        </w:rPr>
        <w:t xml:space="preserve">ГОСТ ИСО 21569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ГОСТ ИСО 21570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Российской Федерации действует </w:t>
      </w:r>
      <w:hyperlink w:history="0" r:id="rId57"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ISO 21571 Продукты пищевые. Методы анализа для обнаружения генетически модифицированных организмов и производных продуктов. Экстрагирование нуклеиновых кислот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Российской Федерации действует </w:t>
      </w:r>
      <w:hyperlink w:history="0" r:id="rId58"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59"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 Зерно и продукты его переработки. Отбор проб</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2"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60"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320" w:tooltip="[1]">
        <w:r>
          <w:rPr>
            <w:sz w:val="20"/>
            <w:color w:val="0000ff"/>
          </w:rPr>
          <w:t xml:space="preserve">[1]</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Технические требования</w:t>
      </w:r>
    </w:p>
    <w:p>
      <w:pPr>
        <w:pStyle w:val="0"/>
        <w:ind w:firstLine="540"/>
        <w:jc w:val="both"/>
      </w:pPr>
      <w:r>
        <w:rPr>
          <w:sz w:val="20"/>
        </w:rPr>
      </w:r>
    </w:p>
    <w:p>
      <w:pPr>
        <w:pStyle w:val="0"/>
        <w:ind w:firstLine="540"/>
        <w:jc w:val="both"/>
      </w:pPr>
      <w:r>
        <w:rPr>
          <w:sz w:val="20"/>
        </w:rPr>
        <w:t xml:space="preserve">4.1 Гречиху в зависимости от качества зерна подразделяют на классы в соответствии с требованиями, указанными в </w:t>
      </w:r>
      <w:hyperlink w:history="0" w:anchor="P138"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38" w:name="P138"/>
    <w:bookmarkEnd w:id="138"/>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1587"/>
        <w:gridCol w:w="1587"/>
        <w:gridCol w:w="1587"/>
      </w:tblGrid>
      <w:tr>
        <w:tc>
          <w:tcPr>
            <w:tcW w:w="4308" w:type="dxa"/>
            <w:vAlign w:val="center"/>
            <w:vMerge w:val="restart"/>
          </w:tcPr>
          <w:p>
            <w:pPr>
              <w:pStyle w:val="0"/>
              <w:jc w:val="center"/>
            </w:pPr>
            <w:r>
              <w:rPr>
                <w:sz w:val="20"/>
              </w:rPr>
              <w:t xml:space="preserve">Наименование показателя</w:t>
            </w:r>
          </w:p>
        </w:tc>
        <w:tc>
          <w:tcPr>
            <w:gridSpan w:val="3"/>
            <w:tcW w:w="4761" w:type="dxa"/>
            <w:vAlign w:val="center"/>
          </w:tcPr>
          <w:p>
            <w:pPr>
              <w:pStyle w:val="0"/>
              <w:jc w:val="center"/>
            </w:pPr>
            <w:r>
              <w:rPr>
                <w:sz w:val="20"/>
              </w:rPr>
              <w:t xml:space="preserve">Норма для класса</w:t>
            </w:r>
          </w:p>
        </w:tc>
      </w:tr>
      <w:tr>
        <w:tc>
          <w:tcPr>
            <w:vMerge w:val="continue"/>
          </w:tcPr>
          <w:p/>
        </w:tc>
        <w:tc>
          <w:tcPr>
            <w:tcW w:w="1587" w:type="dxa"/>
            <w:vAlign w:val="center"/>
          </w:tcPr>
          <w:p>
            <w:pPr>
              <w:pStyle w:val="0"/>
              <w:jc w:val="center"/>
            </w:pPr>
            <w:r>
              <w:rPr>
                <w:sz w:val="20"/>
              </w:rPr>
              <w:t xml:space="preserve">1-го</w:t>
            </w:r>
          </w:p>
        </w:tc>
        <w:tc>
          <w:tcPr>
            <w:tcW w:w="1587" w:type="dxa"/>
            <w:vAlign w:val="center"/>
          </w:tcPr>
          <w:p>
            <w:pPr>
              <w:pStyle w:val="0"/>
              <w:jc w:val="center"/>
            </w:pPr>
            <w:r>
              <w:rPr>
                <w:sz w:val="20"/>
              </w:rPr>
              <w:t xml:space="preserve">2-го</w:t>
            </w:r>
          </w:p>
        </w:tc>
        <w:tc>
          <w:tcPr>
            <w:tcW w:w="1587" w:type="dxa"/>
            <w:vAlign w:val="center"/>
          </w:tcPr>
          <w:p>
            <w:pPr>
              <w:pStyle w:val="0"/>
              <w:jc w:val="center"/>
            </w:pPr>
            <w:r>
              <w:rPr>
                <w:sz w:val="20"/>
              </w:rPr>
              <w:t xml:space="preserve">3-го</w:t>
            </w:r>
          </w:p>
        </w:tc>
      </w:tr>
      <w:tr>
        <w:tc>
          <w:tcPr>
            <w:tcW w:w="4308" w:type="dxa"/>
          </w:tcPr>
          <w:p>
            <w:pPr>
              <w:pStyle w:val="0"/>
            </w:pPr>
            <w:r>
              <w:rPr>
                <w:sz w:val="20"/>
              </w:rPr>
              <w:t xml:space="preserve">Цвет</w:t>
            </w:r>
          </w:p>
        </w:tc>
        <w:tc>
          <w:tcPr>
            <w:gridSpan w:val="3"/>
            <w:tcW w:w="4761" w:type="dxa"/>
          </w:tcPr>
          <w:p>
            <w:pPr>
              <w:pStyle w:val="0"/>
              <w:jc w:val="center"/>
            </w:pPr>
            <w:r>
              <w:rPr>
                <w:sz w:val="20"/>
              </w:rPr>
              <w:t xml:space="preserve">Серый, коричневый, однотонный или с различными оттенками, свойственный здоровому зерну гречихи</w:t>
            </w:r>
          </w:p>
        </w:tc>
      </w:tr>
      <w:tr>
        <w:tc>
          <w:tcPr>
            <w:tcW w:w="4308" w:type="dxa"/>
          </w:tcPr>
          <w:p>
            <w:pPr>
              <w:pStyle w:val="0"/>
            </w:pPr>
            <w:r>
              <w:rPr>
                <w:sz w:val="20"/>
              </w:rPr>
              <w:t xml:space="preserve">Состояние</w:t>
            </w:r>
          </w:p>
        </w:tc>
        <w:tc>
          <w:tcPr>
            <w:gridSpan w:val="3"/>
            <w:tcW w:w="4761" w:type="dxa"/>
          </w:tcPr>
          <w:p>
            <w:pPr>
              <w:pStyle w:val="0"/>
              <w:jc w:val="center"/>
            </w:pPr>
            <w:r>
              <w:rPr>
                <w:sz w:val="20"/>
              </w:rPr>
              <w:t xml:space="preserve">В здоровом, негреющемся состоянии</w:t>
            </w:r>
          </w:p>
        </w:tc>
      </w:tr>
      <w:tr>
        <w:tc>
          <w:tcPr>
            <w:tcW w:w="4308" w:type="dxa"/>
          </w:tcPr>
          <w:p>
            <w:pPr>
              <w:pStyle w:val="0"/>
            </w:pPr>
            <w:r>
              <w:rPr>
                <w:sz w:val="20"/>
              </w:rPr>
              <w:t xml:space="preserve">Запах</w:t>
            </w:r>
          </w:p>
        </w:tc>
        <w:tc>
          <w:tcPr>
            <w:gridSpan w:val="3"/>
            <w:tcW w:w="4761" w:type="dxa"/>
          </w:tcPr>
          <w:p>
            <w:pPr>
              <w:pStyle w:val="0"/>
              <w:jc w:val="center"/>
            </w:pPr>
            <w:r>
              <w:rPr>
                <w:sz w:val="20"/>
              </w:rPr>
              <w:t xml:space="preserve">Свойственный здоровому зерну гречихи, без плесневого, затхлого и других посторонних запахов</w:t>
            </w:r>
          </w:p>
        </w:tc>
      </w:tr>
      <w:tr>
        <w:tc>
          <w:tcPr>
            <w:tcW w:w="4308" w:type="dxa"/>
          </w:tcPr>
          <w:p>
            <w:pPr>
              <w:pStyle w:val="0"/>
            </w:pPr>
            <w:r>
              <w:rPr>
                <w:sz w:val="20"/>
              </w:rPr>
              <w:t xml:space="preserve">Содержание ядра, %, не менее</w:t>
            </w:r>
          </w:p>
        </w:tc>
        <w:tc>
          <w:tcPr>
            <w:tcW w:w="1587" w:type="dxa"/>
          </w:tcPr>
          <w:p>
            <w:pPr>
              <w:pStyle w:val="0"/>
              <w:jc w:val="center"/>
            </w:pPr>
            <w:r>
              <w:rPr>
                <w:sz w:val="20"/>
              </w:rPr>
              <w:t xml:space="preserve">73</w:t>
            </w:r>
          </w:p>
        </w:tc>
        <w:tc>
          <w:tcPr>
            <w:tcW w:w="1587" w:type="dxa"/>
          </w:tcPr>
          <w:p>
            <w:pPr>
              <w:pStyle w:val="0"/>
              <w:jc w:val="center"/>
            </w:pPr>
            <w:r>
              <w:rPr>
                <w:sz w:val="20"/>
              </w:rPr>
              <w:t xml:space="preserve">71</w:t>
            </w:r>
          </w:p>
        </w:tc>
        <w:tc>
          <w:tcPr>
            <w:tcW w:w="1587" w:type="dxa"/>
          </w:tcPr>
          <w:p>
            <w:pPr>
              <w:pStyle w:val="0"/>
              <w:jc w:val="center"/>
            </w:pPr>
            <w:r>
              <w:rPr>
                <w:sz w:val="20"/>
              </w:rPr>
              <w:t xml:space="preserve">70</w:t>
            </w:r>
          </w:p>
        </w:tc>
      </w:tr>
      <w:tr>
        <w:tc>
          <w:tcPr>
            <w:tcW w:w="4308" w:type="dxa"/>
          </w:tcPr>
          <w:p>
            <w:pPr>
              <w:pStyle w:val="0"/>
            </w:pPr>
            <w:r>
              <w:rPr>
                <w:sz w:val="20"/>
              </w:rPr>
              <w:t xml:space="preserve">Влажность, %, не более</w:t>
            </w:r>
          </w:p>
        </w:tc>
        <w:tc>
          <w:tcPr>
            <w:gridSpan w:val="3"/>
            <w:tcW w:w="4761" w:type="dxa"/>
          </w:tcPr>
          <w:p>
            <w:pPr>
              <w:pStyle w:val="0"/>
              <w:jc w:val="center"/>
            </w:pPr>
            <w:r>
              <w:rPr>
                <w:sz w:val="20"/>
              </w:rPr>
              <w:t xml:space="preserve">14,5</w:t>
            </w:r>
          </w:p>
        </w:tc>
      </w:tr>
      <w:tr>
        <w:tblPrEx>
          <w:tblBorders>
            <w:insideH w:val="nil"/>
          </w:tblBorders>
        </w:tblPrEx>
        <w:tc>
          <w:tcPr>
            <w:tcW w:w="4308" w:type="dxa"/>
            <w:tcBorders>
              <w:bottom w:val="nil"/>
            </w:tcBorders>
          </w:tcPr>
          <w:p>
            <w:pPr>
              <w:pStyle w:val="0"/>
            </w:pPr>
            <w:r>
              <w:rPr>
                <w:sz w:val="20"/>
              </w:rPr>
              <w:t xml:space="preserve">Сорная примесь, %, не более:</w:t>
            </w:r>
          </w:p>
        </w:tc>
        <w:tc>
          <w:tcPr>
            <w:gridSpan w:val="2"/>
            <w:tcW w:w="3174"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3,0</w:t>
            </w:r>
          </w:p>
        </w:tc>
      </w:tr>
      <w:tr>
        <w:tblPrEx>
          <w:tblBorders>
            <w:insideH w:val="nil"/>
          </w:tblBorders>
        </w:tblPrEx>
        <w:tc>
          <w:tcPr>
            <w:tcW w:w="4308" w:type="dxa"/>
            <w:tcBorders>
              <w:top w:val="nil"/>
              <w:bottom w:val="nil"/>
            </w:tcBorders>
          </w:tcPr>
          <w:p>
            <w:pPr>
              <w:pStyle w:val="0"/>
              <w:ind w:firstLine="284"/>
            </w:pPr>
            <w:r>
              <w:rPr>
                <w:sz w:val="20"/>
              </w:rPr>
              <w:t xml:space="preserve">в том числе:</w:t>
            </w:r>
          </w:p>
          <w:p>
            <w:pPr>
              <w:pStyle w:val="0"/>
              <w:ind w:firstLine="284"/>
            </w:pPr>
            <w:r>
              <w:rPr>
                <w:sz w:val="20"/>
              </w:rPr>
              <w:t xml:space="preserve">минеральная примесь</w:t>
            </w:r>
          </w:p>
        </w:tc>
        <w:tc>
          <w:tcPr>
            <w:gridSpan w:val="3"/>
            <w:tcW w:w="4761" w:type="dxa"/>
            <w:vAlign w:val="center"/>
            <w:tcBorders>
              <w:top w:val="nil"/>
              <w:bottom w:val="nil"/>
            </w:tcBorders>
          </w:tcPr>
          <w:p>
            <w:pPr>
              <w:pStyle w:val="0"/>
              <w:jc w:val="center"/>
            </w:pPr>
            <w:r>
              <w:rPr>
                <w:sz w:val="20"/>
              </w:rPr>
              <w:t xml:space="preserve">0,2</w:t>
            </w:r>
          </w:p>
        </w:tc>
      </w:tr>
      <w:tr>
        <w:tblPrEx>
          <w:tblBorders>
            <w:insideH w:val="nil"/>
          </w:tblBorders>
        </w:tblPrEx>
        <w:tc>
          <w:tcPr>
            <w:tcW w:w="4308" w:type="dxa"/>
            <w:tcBorders>
              <w:top w:val="nil"/>
              <w:bottom w:val="nil"/>
            </w:tcBorders>
          </w:tcPr>
          <w:p>
            <w:pPr>
              <w:pStyle w:val="0"/>
              <w:ind w:firstLine="284"/>
            </w:pPr>
            <w:r>
              <w:rPr>
                <w:sz w:val="20"/>
              </w:rPr>
              <w:t xml:space="preserve">в числе минеральной примеси:</w:t>
            </w:r>
          </w:p>
          <w:p>
            <w:pPr>
              <w:pStyle w:val="0"/>
              <w:ind w:firstLine="284"/>
            </w:pPr>
            <w:r>
              <w:rPr>
                <w:sz w:val="20"/>
              </w:rPr>
              <w:t xml:space="preserve">галька</w:t>
            </w:r>
          </w:p>
        </w:tc>
        <w:tc>
          <w:tcPr>
            <w:tcW w:w="1587" w:type="dxa"/>
            <w:vAlign w:val="center"/>
            <w:tcBorders>
              <w:top w:val="nil"/>
              <w:bottom w:val="nil"/>
            </w:tcBorders>
          </w:tcPr>
          <w:p>
            <w:pPr>
              <w:pStyle w:val="0"/>
              <w:jc w:val="center"/>
            </w:pPr>
            <w:r>
              <w:rPr>
                <w:sz w:val="20"/>
              </w:rPr>
              <w:t xml:space="preserve">Не допускается</w:t>
            </w:r>
          </w:p>
        </w:tc>
        <w:tc>
          <w:tcPr>
            <w:gridSpan w:val="2"/>
            <w:tcW w:w="3174" w:type="dxa"/>
            <w:vAlign w:val="center"/>
            <w:tcBorders>
              <w:top w:val="nil"/>
              <w:bottom w:val="nil"/>
            </w:tcBorders>
          </w:tcPr>
          <w:p>
            <w:pPr>
              <w:pStyle w:val="0"/>
              <w:jc w:val="center"/>
            </w:pPr>
            <w:r>
              <w:rPr>
                <w:sz w:val="20"/>
              </w:rPr>
              <w:t xml:space="preserve">0,1</w:t>
            </w:r>
          </w:p>
        </w:tc>
      </w:tr>
      <w:tr>
        <w:tblPrEx>
          <w:tblBorders>
            <w:insideH w:val="nil"/>
          </w:tblBorders>
        </w:tblPrEx>
        <w:tc>
          <w:tcPr>
            <w:tcW w:w="4308" w:type="dxa"/>
            <w:tcBorders>
              <w:top w:val="nil"/>
              <w:bottom w:val="nil"/>
            </w:tcBorders>
          </w:tcPr>
          <w:p>
            <w:pPr>
              <w:pStyle w:val="0"/>
              <w:ind w:firstLine="284"/>
            </w:pPr>
            <w:r>
              <w:rPr>
                <w:sz w:val="20"/>
              </w:rPr>
              <w:t xml:space="preserve">куколь</w:t>
            </w:r>
          </w:p>
        </w:tc>
        <w:tc>
          <w:tcPr>
            <w:gridSpan w:val="3"/>
            <w:tcW w:w="4761" w:type="dxa"/>
            <w:tcBorders>
              <w:top w:val="nil"/>
              <w:bottom w:val="nil"/>
            </w:tcBorders>
          </w:tcPr>
          <w:p>
            <w:pPr>
              <w:pStyle w:val="0"/>
              <w:jc w:val="center"/>
            </w:pPr>
            <w:r>
              <w:rPr>
                <w:sz w:val="20"/>
              </w:rPr>
              <w:t xml:space="preserve">1,0</w:t>
            </w:r>
          </w:p>
        </w:tc>
      </w:tr>
      <w:tr>
        <w:tblPrEx>
          <w:tblBorders>
            <w:insideH w:val="nil"/>
          </w:tblBorders>
        </w:tblPrEx>
        <w:tc>
          <w:tcPr>
            <w:tcW w:w="4308" w:type="dxa"/>
            <w:tcBorders>
              <w:top w:val="nil"/>
            </w:tcBorders>
          </w:tcPr>
          <w:p>
            <w:pPr>
              <w:pStyle w:val="0"/>
              <w:ind w:left="284"/>
            </w:pPr>
            <w:r>
              <w:rPr>
                <w:sz w:val="20"/>
              </w:rPr>
              <w:t xml:space="preserve">трудноотделимые семена (татарская гречиха, дикая редька, рожь, пшеница, тритикале, полба, горец)</w:t>
            </w:r>
          </w:p>
        </w:tc>
        <w:tc>
          <w:tcPr>
            <w:gridSpan w:val="2"/>
            <w:tcW w:w="3174" w:type="dxa"/>
            <w:vAlign w:val="center"/>
            <w:tcBorders>
              <w:top w:val="nil"/>
            </w:tcBorders>
          </w:tcPr>
          <w:p>
            <w:pPr>
              <w:pStyle w:val="0"/>
              <w:jc w:val="center"/>
            </w:pPr>
            <w:r>
              <w:rPr>
                <w:sz w:val="20"/>
              </w:rPr>
              <w:t xml:space="preserve">1,0</w:t>
            </w:r>
          </w:p>
        </w:tc>
        <w:tc>
          <w:tcPr>
            <w:tcW w:w="1587" w:type="dxa"/>
            <w:vAlign w:val="center"/>
            <w:tcBorders>
              <w:top w:val="nil"/>
            </w:tcBorders>
          </w:tcPr>
          <w:p>
            <w:pPr>
              <w:pStyle w:val="0"/>
              <w:jc w:val="center"/>
            </w:pPr>
            <w:r>
              <w:rPr>
                <w:sz w:val="20"/>
              </w:rPr>
              <w:t xml:space="preserve">2,0</w:t>
            </w:r>
          </w:p>
        </w:tc>
      </w:tr>
      <w:tr>
        <w:tblPrEx>
          <w:tblBorders>
            <w:insideH w:val="nil"/>
          </w:tblBorders>
        </w:tblPrEx>
        <w:tc>
          <w:tcPr>
            <w:tcW w:w="4308" w:type="dxa"/>
            <w:tcBorders>
              <w:bottom w:val="nil"/>
            </w:tcBorders>
          </w:tcPr>
          <w:p>
            <w:pPr>
              <w:pStyle w:val="0"/>
            </w:pPr>
            <w:r>
              <w:rPr>
                <w:sz w:val="20"/>
              </w:rPr>
              <w:t xml:space="preserve">Зерновая примесь, %, не более</w:t>
            </w:r>
          </w:p>
        </w:tc>
        <w:tc>
          <w:tcPr>
            <w:tcW w:w="1587"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3,0</w:t>
            </w:r>
          </w:p>
        </w:tc>
        <w:tc>
          <w:tcPr>
            <w:tcW w:w="1587" w:type="dxa"/>
            <w:tcBorders>
              <w:bottom w:val="nil"/>
            </w:tcBorders>
          </w:tcPr>
          <w:p>
            <w:pPr>
              <w:pStyle w:val="0"/>
              <w:jc w:val="center"/>
            </w:pPr>
            <w:r>
              <w:rPr>
                <w:sz w:val="20"/>
              </w:rPr>
              <w:t xml:space="preserve">5,0</w:t>
            </w:r>
          </w:p>
        </w:tc>
      </w:tr>
      <w:tr>
        <w:tblPrEx>
          <w:tblBorders>
            <w:insideH w:val="nil"/>
          </w:tblBorders>
        </w:tblPrEx>
        <w:tc>
          <w:tcPr>
            <w:tcW w:w="4308" w:type="dxa"/>
            <w:tcBorders>
              <w:top w:val="nil"/>
              <w:bottom w:val="nil"/>
            </w:tcBorders>
          </w:tcPr>
          <w:p>
            <w:pPr>
              <w:pStyle w:val="0"/>
              <w:ind w:firstLine="284"/>
            </w:pPr>
            <w:r>
              <w:rPr>
                <w:sz w:val="20"/>
              </w:rPr>
              <w:t xml:space="preserve">в том числе:</w:t>
            </w:r>
          </w:p>
        </w:tc>
        <w:tc>
          <w:tcPr>
            <w:tcW w:w="1587" w:type="dxa"/>
            <w:tcBorders>
              <w:top w:val="nil"/>
              <w:bottom w:val="nil"/>
            </w:tcBorders>
          </w:tcPr>
          <w:p>
            <w:pPr>
              <w:pStyle w:val="0"/>
            </w:pPr>
            <w:r>
              <w:rPr>
                <w:sz w:val="20"/>
              </w:rPr>
            </w:r>
          </w:p>
        </w:tc>
        <w:tc>
          <w:tcPr>
            <w:tcW w:w="1587" w:type="dxa"/>
            <w:tcBorders>
              <w:top w:val="nil"/>
              <w:bottom w:val="nil"/>
            </w:tcBorders>
          </w:tcPr>
          <w:p>
            <w:pPr>
              <w:pStyle w:val="0"/>
            </w:pPr>
            <w:r>
              <w:rPr>
                <w:sz w:val="20"/>
              </w:rPr>
            </w:r>
          </w:p>
        </w:tc>
        <w:tc>
          <w:tcPr>
            <w:tcW w:w="1587" w:type="dxa"/>
            <w:tcBorders>
              <w:top w:val="nil"/>
              <w:bottom w:val="nil"/>
            </w:tcBorders>
          </w:tcPr>
          <w:p>
            <w:pPr>
              <w:pStyle w:val="0"/>
            </w:pPr>
            <w:r>
              <w:rPr>
                <w:sz w:val="20"/>
              </w:rPr>
            </w:r>
          </w:p>
        </w:tc>
      </w:tr>
      <w:tr>
        <w:tblPrEx>
          <w:tblBorders>
            <w:insideH w:val="nil"/>
          </w:tblBorders>
        </w:tblPrEx>
        <w:tc>
          <w:tcPr>
            <w:tcW w:w="4308" w:type="dxa"/>
            <w:tcBorders>
              <w:top w:val="nil"/>
              <w:bottom w:val="nil"/>
            </w:tcBorders>
          </w:tcPr>
          <w:p>
            <w:pPr>
              <w:pStyle w:val="0"/>
              <w:ind w:firstLine="284"/>
            </w:pPr>
            <w:r>
              <w:rPr>
                <w:sz w:val="20"/>
              </w:rPr>
              <w:t xml:space="preserve">обрушенные зерна</w:t>
            </w:r>
          </w:p>
        </w:tc>
        <w:tc>
          <w:tcPr>
            <w:tcW w:w="1587" w:type="dxa"/>
            <w:tcBorders>
              <w:top w:val="nil"/>
              <w:bottom w:val="nil"/>
            </w:tcBorders>
          </w:tcPr>
          <w:p>
            <w:pPr>
              <w:pStyle w:val="0"/>
              <w:jc w:val="center"/>
            </w:pPr>
            <w:r>
              <w:rPr>
                <w:sz w:val="20"/>
              </w:rPr>
              <w:t xml:space="preserve">1,5</w:t>
            </w:r>
          </w:p>
        </w:tc>
        <w:tc>
          <w:tcPr>
            <w:tcW w:w="1587" w:type="dxa"/>
            <w:tcBorders>
              <w:top w:val="nil"/>
              <w:bottom w:val="nil"/>
            </w:tcBorders>
          </w:tcPr>
          <w:p>
            <w:pPr>
              <w:pStyle w:val="0"/>
              <w:jc w:val="center"/>
            </w:pPr>
            <w:r>
              <w:rPr>
                <w:sz w:val="20"/>
              </w:rPr>
              <w:t xml:space="preserve">2,0</w:t>
            </w:r>
          </w:p>
        </w:tc>
        <w:tc>
          <w:tcPr>
            <w:tcW w:w="1587" w:type="dxa"/>
            <w:tcBorders>
              <w:top w:val="nil"/>
              <w:bottom w:val="nil"/>
            </w:tcBorders>
          </w:tcPr>
          <w:p>
            <w:pPr>
              <w:pStyle w:val="0"/>
              <w:jc w:val="center"/>
            </w:pPr>
            <w:r>
              <w:rPr>
                <w:sz w:val="20"/>
              </w:rPr>
              <w:t xml:space="preserve">3,0</w:t>
            </w:r>
          </w:p>
        </w:tc>
      </w:tr>
      <w:tr>
        <w:tblPrEx>
          <w:tblBorders>
            <w:insideH w:val="nil"/>
          </w:tblBorders>
        </w:tblPrEx>
        <w:tc>
          <w:tcPr>
            <w:tcW w:w="4308" w:type="dxa"/>
            <w:tcBorders>
              <w:top w:val="nil"/>
            </w:tcBorders>
          </w:tcPr>
          <w:p>
            <w:pPr>
              <w:pStyle w:val="0"/>
              <w:ind w:firstLine="284"/>
            </w:pPr>
            <w:r>
              <w:rPr>
                <w:sz w:val="20"/>
              </w:rPr>
              <w:t xml:space="preserve">проросшие зерна</w:t>
            </w:r>
          </w:p>
        </w:tc>
        <w:tc>
          <w:tcPr>
            <w:tcW w:w="1587" w:type="dxa"/>
            <w:tcBorders>
              <w:top w:val="nil"/>
            </w:tcBorders>
          </w:tcPr>
          <w:p>
            <w:pPr>
              <w:pStyle w:val="0"/>
              <w:jc w:val="center"/>
            </w:pPr>
            <w:r>
              <w:rPr>
                <w:sz w:val="20"/>
              </w:rPr>
              <w:t xml:space="preserve">1,0 &lt;*&gt;</w:t>
            </w:r>
          </w:p>
        </w:tc>
        <w:tc>
          <w:tcPr>
            <w:tcW w:w="1587" w:type="dxa"/>
            <w:tcBorders>
              <w:top w:val="nil"/>
            </w:tcBorders>
          </w:tcPr>
          <w:p>
            <w:pPr>
              <w:pStyle w:val="0"/>
              <w:jc w:val="center"/>
            </w:pPr>
            <w:r>
              <w:rPr>
                <w:sz w:val="20"/>
              </w:rPr>
              <w:t xml:space="preserve">1,0</w:t>
            </w:r>
          </w:p>
        </w:tc>
        <w:tc>
          <w:tcPr>
            <w:tcW w:w="1587" w:type="dxa"/>
            <w:tcBorders>
              <w:top w:val="nil"/>
            </w:tcBorders>
          </w:tcPr>
          <w:p>
            <w:pPr>
              <w:pStyle w:val="0"/>
              <w:jc w:val="center"/>
            </w:pPr>
            <w:r>
              <w:rPr>
                <w:sz w:val="20"/>
              </w:rPr>
              <w:t xml:space="preserve">3,0</w:t>
            </w:r>
          </w:p>
        </w:tc>
      </w:tr>
      <w:tr>
        <w:tc>
          <w:tcPr>
            <w:tcW w:w="4308" w:type="dxa"/>
          </w:tcPr>
          <w:p>
            <w:pPr>
              <w:pStyle w:val="0"/>
            </w:pPr>
            <w:r>
              <w:rPr>
                <w:sz w:val="20"/>
              </w:rPr>
              <w:t xml:space="preserve">Кислотность, град, не более</w:t>
            </w:r>
          </w:p>
        </w:tc>
        <w:tc>
          <w:tcPr>
            <w:tcW w:w="1587" w:type="dxa"/>
          </w:tcPr>
          <w:p>
            <w:pPr>
              <w:pStyle w:val="0"/>
              <w:jc w:val="center"/>
            </w:pPr>
            <w:r>
              <w:rPr>
                <w:sz w:val="20"/>
              </w:rPr>
              <w:t xml:space="preserve">4,0</w:t>
            </w:r>
          </w:p>
        </w:tc>
        <w:tc>
          <w:tcPr>
            <w:gridSpan w:val="2"/>
            <w:tcW w:w="3174" w:type="dxa"/>
          </w:tcPr>
          <w:p>
            <w:pPr>
              <w:pStyle w:val="0"/>
              <w:jc w:val="center"/>
            </w:pPr>
            <w:r>
              <w:rPr>
                <w:sz w:val="20"/>
              </w:rPr>
              <w:t xml:space="preserve">Не ограничивается</w:t>
            </w:r>
          </w:p>
        </w:tc>
      </w:tr>
      <w:tr>
        <w:tc>
          <w:tcPr>
            <w:gridSpan w:val="4"/>
            <w:tcW w:w="9069" w:type="dxa"/>
          </w:tcPr>
          <w:p>
            <w:pPr>
              <w:pStyle w:val="0"/>
              <w:ind w:firstLine="567"/>
              <w:jc w:val="both"/>
            </w:pPr>
            <w:r>
              <w:rPr>
                <w:sz w:val="20"/>
              </w:rPr>
              <w:t xml:space="preserve">&lt;*&gt; В гречихе для выработки продуктов детского питания наличие проросших зерен не допускается.</w:t>
            </w:r>
          </w:p>
        </w:tc>
      </w:tr>
    </w:tbl>
    <w:p>
      <w:pPr>
        <w:pStyle w:val="0"/>
        <w:ind w:firstLine="540"/>
        <w:jc w:val="both"/>
      </w:pPr>
      <w:r>
        <w:rPr>
          <w:sz w:val="20"/>
        </w:rPr>
      </w:r>
    </w:p>
    <w:p>
      <w:pPr>
        <w:pStyle w:val="0"/>
        <w:ind w:firstLine="540"/>
        <w:jc w:val="both"/>
      </w:pPr>
      <w:r>
        <w:rPr>
          <w:sz w:val="20"/>
        </w:rPr>
        <w:t xml:space="preserve">4.2 Содержание токсичных элементов, микотоксинов, бенз(a)пирена, пестицидов, радионуклидов, испорченных зерен, вредных примесей; генно-модифицированных организмов (ГМО), зараженность вредителями и загрязненность мертвыми насекомыми-вредителями в зерне гречихи не должно превышать допустимые уровни, установленные </w:t>
      </w:r>
      <w:hyperlink w:history="0" w:anchor="P320" w:tooltip="[1]">
        <w:r>
          <w:rPr>
            <w:sz w:val="20"/>
            <w:color w:val="0000ff"/>
          </w:rPr>
          <w:t xml:space="preserve">[1]</w:t>
        </w:r>
      </w:hyperlink>
      <w:r>
        <w:rPr>
          <w:sz w:val="20"/>
        </w:rPr>
        <w:t xml:space="preserve">, а также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4.3 Содержание вредных примесей и испорченных зерен в зерне гречихи класса 1, предназначенного для выработки продуктов детского питания, - не допускается.</w:t>
      </w:r>
    </w:p>
    <w:p>
      <w:pPr>
        <w:pStyle w:val="0"/>
        <w:spacing w:before="200" w:line-rule="auto"/>
        <w:ind w:firstLine="540"/>
        <w:jc w:val="both"/>
      </w:pPr>
      <w:r>
        <w:rPr>
          <w:sz w:val="20"/>
          <w:b w:val="on"/>
        </w:rPr>
        <w:t xml:space="preserve">4.4 Состав основного зерна, сорной и зерновой примесей</w:t>
      </w:r>
    </w:p>
    <w:p>
      <w:pPr>
        <w:pStyle w:val="0"/>
        <w:spacing w:before="200" w:line-rule="auto"/>
        <w:ind w:firstLine="540"/>
        <w:jc w:val="both"/>
      </w:pPr>
      <w:r>
        <w:rPr>
          <w:sz w:val="20"/>
        </w:rPr>
        <w:t xml:space="preserve">4.4.1 К основному зерну относят целые и поврежденные зерна гречихи, по характеру повреждений не относящиеся к сорной или зерновой примеси.</w:t>
      </w:r>
    </w:p>
    <w:p>
      <w:pPr>
        <w:pStyle w:val="0"/>
        <w:spacing w:before="200" w:line-rule="auto"/>
        <w:ind w:firstLine="540"/>
        <w:jc w:val="both"/>
      </w:pPr>
      <w:r>
        <w:rPr>
          <w:sz w:val="20"/>
        </w:rPr>
        <w:t xml:space="preserve">4.4.2 К сорной примеси относят:</w:t>
      </w:r>
    </w:p>
    <w:p>
      <w:pPr>
        <w:pStyle w:val="0"/>
        <w:spacing w:before="200" w:line-rule="auto"/>
        <w:ind w:firstLine="540"/>
        <w:jc w:val="both"/>
      </w:pPr>
      <w:r>
        <w:rPr>
          <w:sz w:val="20"/>
        </w:rPr>
        <w:t xml:space="preserve">а) весь проход через сито с отверстиями диаметром 3,0 мм;</w:t>
      </w:r>
    </w:p>
    <w:p>
      <w:pPr>
        <w:pStyle w:val="0"/>
        <w:spacing w:before="200" w:line-rule="auto"/>
        <w:ind w:firstLine="540"/>
        <w:jc w:val="both"/>
      </w:pPr>
      <w:r>
        <w:rPr>
          <w:sz w:val="20"/>
        </w:rPr>
        <w:t xml:space="preserve">б) в остатке на сите с отверстиями диаметром 3,0 мм:</w:t>
      </w:r>
    </w:p>
    <w:p>
      <w:pPr>
        <w:pStyle w:val="0"/>
        <w:spacing w:before="200" w:line-rule="auto"/>
        <w:ind w:firstLine="540"/>
        <w:jc w:val="both"/>
      </w:pPr>
      <w:r>
        <w:rPr>
          <w:sz w:val="20"/>
        </w:rPr>
        <w:t xml:space="preserve">1) минеральную примесь - комочки земли, гальку, шлак, руду и т.п.;</w:t>
      </w:r>
    </w:p>
    <w:p>
      <w:pPr>
        <w:pStyle w:val="0"/>
        <w:spacing w:before="200" w:line-rule="auto"/>
        <w:ind w:firstLine="540"/>
        <w:jc w:val="both"/>
      </w:pPr>
      <w:r>
        <w:rPr>
          <w:sz w:val="20"/>
        </w:rPr>
        <w:t xml:space="preserve">2) органическую примесь - плодовые оболочки гречихи, оболочки зерен и семян культурных и дикорастущих растений, остатки стеблей, мертвые вредители;</w:t>
      </w:r>
    </w:p>
    <w:p>
      <w:pPr>
        <w:pStyle w:val="0"/>
        <w:spacing w:before="200" w:line-rule="auto"/>
        <w:ind w:firstLine="540"/>
        <w:jc w:val="both"/>
      </w:pPr>
      <w:r>
        <w:rPr>
          <w:sz w:val="20"/>
        </w:rPr>
        <w:t xml:space="preserve">3) зерна и семена других культурных и дикорастущих растений;</w:t>
      </w:r>
    </w:p>
    <w:p>
      <w:pPr>
        <w:pStyle w:val="0"/>
        <w:spacing w:before="200" w:line-rule="auto"/>
        <w:ind w:firstLine="540"/>
        <w:jc w:val="both"/>
      </w:pPr>
      <w:r>
        <w:rPr>
          <w:sz w:val="20"/>
        </w:rPr>
        <w:t xml:space="preserve">4) плоские зерна гречихи;</w:t>
      </w:r>
    </w:p>
    <w:p>
      <w:pPr>
        <w:pStyle w:val="0"/>
        <w:spacing w:before="200" w:line-rule="auto"/>
        <w:ind w:firstLine="540"/>
        <w:jc w:val="both"/>
      </w:pPr>
      <w:r>
        <w:rPr>
          <w:sz w:val="20"/>
        </w:rPr>
        <w:t xml:space="preserve">5) рудяк - сильно недоразвитые, светлоокрашенные зерна гречихи с минимальным содержанием ядра;</w:t>
      </w:r>
    </w:p>
    <w:p>
      <w:pPr>
        <w:pStyle w:val="0"/>
        <w:spacing w:before="200" w:line-rule="auto"/>
        <w:ind w:firstLine="540"/>
        <w:jc w:val="both"/>
      </w:pPr>
      <w:r>
        <w:rPr>
          <w:sz w:val="20"/>
        </w:rPr>
        <w:t xml:space="preserve">6) испорченные зерна гречихи - загнившие, заплесневевшие, поджаренные, обуглившиеся - все с явно испорченным ядром от коричневого до черного цвета, а также со светлым, но рыхлым, легко разрушающимся при надавливании ядром;</w:t>
      </w:r>
    </w:p>
    <w:p>
      <w:pPr>
        <w:pStyle w:val="0"/>
        <w:spacing w:before="200" w:line-rule="auto"/>
        <w:ind w:firstLine="540"/>
        <w:jc w:val="both"/>
      </w:pPr>
      <w:r>
        <w:rPr>
          <w:sz w:val="20"/>
        </w:rPr>
        <w:t xml:space="preserve">7) вредную примесь, состав которой установлен в </w:t>
      </w:r>
      <w:hyperlink w:history="0" w:anchor="P320" w:tooltip="[1]">
        <w:r>
          <w:rPr>
            <w:sz w:val="20"/>
            <w:color w:val="0000ff"/>
          </w:rPr>
          <w:t xml:space="preserve">[1]</w:t>
        </w:r>
      </w:hyperlink>
      <w:r>
        <w:rPr>
          <w:sz w:val="20"/>
        </w:rPr>
        <w:t xml:space="preserve">.</w:t>
      </w:r>
    </w:p>
    <w:p>
      <w:pPr>
        <w:pStyle w:val="0"/>
        <w:spacing w:before="200" w:line-rule="auto"/>
        <w:ind w:firstLine="540"/>
        <w:jc w:val="both"/>
      </w:pPr>
      <w:r>
        <w:rPr>
          <w:sz w:val="20"/>
        </w:rPr>
        <w:t xml:space="preserve">4.4.3 К зерновой примеси относят в остатке на сите с отверстиями диаметром 3,0 мм зерна, зерна гречихи:</w:t>
      </w:r>
    </w:p>
    <w:p>
      <w:pPr>
        <w:pStyle w:val="0"/>
        <w:spacing w:before="200" w:line-rule="auto"/>
        <w:ind w:firstLine="540"/>
        <w:jc w:val="both"/>
      </w:pPr>
      <w:r>
        <w:rPr>
          <w:sz w:val="20"/>
        </w:rPr>
        <w:t xml:space="preserve">- битые и изъеденные зерна с плодовыми оболочками и без них, независимо от размера (степени) повреждения;</w:t>
      </w:r>
    </w:p>
    <w:p>
      <w:pPr>
        <w:pStyle w:val="0"/>
        <w:spacing w:before="200" w:line-rule="auto"/>
        <w:ind w:firstLine="540"/>
        <w:jc w:val="both"/>
      </w:pPr>
      <w:r>
        <w:rPr>
          <w:sz w:val="20"/>
        </w:rPr>
        <w:t xml:space="preserve">- обрушенные полностью или частично, с легко отделяемой без дополнительных приспособлений пленкой;</w:t>
      </w:r>
    </w:p>
    <w:p>
      <w:pPr>
        <w:pStyle w:val="0"/>
        <w:spacing w:before="200" w:line-rule="auto"/>
        <w:ind w:firstLine="540"/>
        <w:jc w:val="both"/>
      </w:pPr>
      <w:r>
        <w:rPr>
          <w:sz w:val="20"/>
        </w:rPr>
        <w:t xml:space="preserve">- проросшие - на всех стадиях прорастания.</w:t>
      </w:r>
    </w:p>
    <w:p>
      <w:pPr>
        <w:pStyle w:val="0"/>
        <w:spacing w:before="200" w:line-rule="auto"/>
        <w:ind w:firstLine="540"/>
        <w:jc w:val="both"/>
      </w:pPr>
      <w:r>
        <w:rPr>
          <w:sz w:val="20"/>
        </w:rPr>
        <w:t xml:space="preserve">4.5 Класс гречихи определяют после его послеуборочной обработки на технологических линиях очистки и сушки по всем показателям, установленным в </w:t>
      </w:r>
      <w:hyperlink w:history="0" w:anchor="P138" w:tooltip="Таблица 1">
        <w:r>
          <w:rPr>
            <w:sz w:val="20"/>
            <w:color w:val="0000ff"/>
          </w:rPr>
          <w:t xml:space="preserve">таблице 1</w:t>
        </w:r>
      </w:hyperlink>
      <w:r>
        <w:rPr>
          <w:sz w:val="20"/>
        </w:rPr>
        <w:t xml:space="preserve">, по наихудшему значению одного из показателей.</w:t>
      </w:r>
    </w:p>
    <w:p>
      <w:pPr>
        <w:pStyle w:val="0"/>
        <w:spacing w:before="200" w:line-rule="auto"/>
        <w:ind w:firstLine="540"/>
        <w:jc w:val="both"/>
      </w:pPr>
      <w:r>
        <w:rPr>
          <w:sz w:val="20"/>
        </w:rPr>
        <w:t xml:space="preserve">Потемневшей считается гречиха, потерявшая в результате неблагоприятных условий созревания, уборки или хранения свой естественный цвет или имеющая пятна темно-коричневого и/или черного цвета.</w:t>
      </w:r>
    </w:p>
    <w:p>
      <w:pPr>
        <w:pStyle w:val="0"/>
        <w:spacing w:before="200" w:line-rule="auto"/>
        <w:ind w:firstLine="540"/>
        <w:jc w:val="both"/>
      </w:pPr>
      <w:r>
        <w:rPr>
          <w:sz w:val="20"/>
        </w:rPr>
        <w:t xml:space="preserve">4.6 Гречиха, предназначенная для выработки продуктов детского питания, должна выращиваться без применения пестицидов и соответствовать требованиям 1-го класса.</w:t>
      </w:r>
    </w:p>
    <w:p>
      <w:pPr>
        <w:pStyle w:val="0"/>
        <w:ind w:firstLine="540"/>
        <w:jc w:val="both"/>
      </w:pPr>
      <w:r>
        <w:rPr>
          <w:sz w:val="20"/>
        </w:rPr>
      </w:r>
    </w:p>
    <w:p>
      <w:pPr>
        <w:pStyle w:val="2"/>
        <w:outlineLvl w:val="1"/>
        <w:ind w:firstLine="540"/>
        <w:jc w:val="both"/>
      </w:pPr>
      <w:r>
        <w:rPr>
          <w:sz w:val="20"/>
          <w:b w:val="on"/>
        </w:rPr>
        <w:t xml:space="preserve">5 Требования безопасности</w:t>
      </w:r>
    </w:p>
    <w:p>
      <w:pPr>
        <w:pStyle w:val="0"/>
        <w:ind w:firstLine="540"/>
        <w:jc w:val="both"/>
      </w:pPr>
      <w:r>
        <w:rPr>
          <w:sz w:val="20"/>
        </w:rPr>
      </w:r>
    </w:p>
    <w:p>
      <w:pPr>
        <w:pStyle w:val="0"/>
        <w:ind w:firstLine="540"/>
        <w:jc w:val="both"/>
      </w:pPr>
      <w:r>
        <w:rPr>
          <w:sz w:val="20"/>
        </w:rPr>
        <w:t xml:space="preserve">5.1 Склады и зернохранилища для размещения гречихи должны быть оснащены вентиляционными системами по </w:t>
      </w:r>
      <w:hyperlink w:history="0" r:id="rId61" w:tooltip="Ссылка на КонсультантПлюс">
        <w:r>
          <w:rPr>
            <w:sz w:val="20"/>
            <w:color w:val="0000ff"/>
          </w:rPr>
          <w:t xml:space="preserve">ГОСТ 12.4.021</w:t>
        </w:r>
      </w:hyperlink>
      <w:r>
        <w:rPr>
          <w:sz w:val="20"/>
        </w:rPr>
        <w:t xml:space="preserve">, соответствовать требованиям пожарной безопасности по </w:t>
      </w:r>
      <w:hyperlink w:history="0" r:id="rId62"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63"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5.2 Производственное оборудование должно соответствовать требованиям безопасности по </w:t>
      </w:r>
      <w:hyperlink w:history="0" r:id="rId64"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5.3 Содержание пыли в воздухе рабочей зоны не должно превышать допустимых значений по </w:t>
      </w:r>
      <w:hyperlink w:history="0" r:id="rId65" w:tooltip="Ссылка на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6 Правила приемки</w:t>
      </w:r>
    </w:p>
    <w:p>
      <w:pPr>
        <w:pStyle w:val="0"/>
        <w:ind w:firstLine="540"/>
        <w:jc w:val="both"/>
      </w:pPr>
      <w:r>
        <w:rPr>
          <w:sz w:val="20"/>
        </w:rPr>
      </w:r>
    </w:p>
    <w:p>
      <w:pPr>
        <w:pStyle w:val="0"/>
        <w:ind w:firstLine="540"/>
        <w:jc w:val="both"/>
      </w:pPr>
      <w:r>
        <w:rPr>
          <w:sz w:val="20"/>
        </w:rPr>
        <w:t xml:space="preserve">6.1 Правила приемки - по </w:t>
      </w:r>
      <w:hyperlink w:history="0" r:id="rId66"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6.2 В документах о качестве на партию гречихи, выращенной без применения пестицидов и предназначенной для выработки продуктов детского питания, дополнительно указывают информацию об этом, а также указывают уровень содержания микотоксинов.</w:t>
      </w:r>
    </w:p>
    <w:p>
      <w:pPr>
        <w:pStyle w:val="0"/>
        <w:spacing w:before="200" w:line-rule="auto"/>
        <w:ind w:firstLine="540"/>
        <w:jc w:val="both"/>
      </w:pPr>
      <w:r>
        <w:rPr>
          <w:sz w:val="20"/>
        </w:rPr>
        <w:t xml:space="preserve">6.3 Гречиху, содержащую примесь зерен других зерновых культур и семян зернобобовых культур более 10% массы зерна вместе с примесями, оценивают как смесь гречихи с другими культурами с указанием ее состава в процентах.</w:t>
      </w:r>
    </w:p>
    <w:p>
      <w:pPr>
        <w:pStyle w:val="0"/>
        <w:spacing w:before="200" w:line-rule="auto"/>
        <w:ind w:firstLine="540"/>
        <w:jc w:val="both"/>
      </w:pPr>
      <w:r>
        <w:rPr>
          <w:sz w:val="20"/>
        </w:rPr>
        <w:t xml:space="preserve">6.4 Контроль содержания токсичных элементов, микотоксинов, бенз(a)пирена, пестицидов, радионуклидов, ГМО, испорченных зерен, вредных примесей, а также зараженности вредителями и загрязненности мертвыми насекомыми-вредителями, в зерне гречихи осуществляют в соответствии с порядком, установленным изготовителем продукции с учетом требований нормативных правовых документов государства, принявшего стандарт.</w:t>
      </w:r>
    </w:p>
    <w:p>
      <w:pPr>
        <w:pStyle w:val="0"/>
        <w:spacing w:before="200" w:line-rule="auto"/>
        <w:ind w:firstLine="540"/>
        <w:jc w:val="both"/>
      </w:pPr>
      <w:r>
        <w:rPr>
          <w:sz w:val="20"/>
        </w:rPr>
        <w:t xml:space="preserve">6.5 В каждой партии зерна гречихи определяют состояние зерна, запах, цвет, влажность, содержание сорной и зерновой примесей, зараженность вредителями.</w:t>
      </w:r>
    </w:p>
    <w:p>
      <w:pPr>
        <w:pStyle w:val="0"/>
        <w:spacing w:before="200" w:line-rule="auto"/>
        <w:ind w:firstLine="540"/>
        <w:jc w:val="both"/>
      </w:pPr>
      <w:r>
        <w:rPr>
          <w:sz w:val="20"/>
        </w:rPr>
        <w:t xml:space="preserve">6.6 Каждая партия гречихи должна сопровождаться товаросопроводительными документами в соответствии с требованиями </w:t>
      </w:r>
      <w:hyperlink w:history="0" w:anchor="P320" w:tooltip="[1]">
        <w:r>
          <w:rPr>
            <w:sz w:val="20"/>
            <w:color w:val="0000ff"/>
          </w:rPr>
          <w:t xml:space="preserve">[1]</w:t>
        </w:r>
      </w:hyperlink>
      <w:r>
        <w:rPr>
          <w:sz w:val="20"/>
        </w:rPr>
        <w:t xml:space="preserve"> или нормативных документов, действующих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7 Методы контроля</w:t>
      </w:r>
    </w:p>
    <w:p>
      <w:pPr>
        <w:pStyle w:val="0"/>
        <w:ind w:firstLine="540"/>
        <w:jc w:val="both"/>
      </w:pPr>
      <w:r>
        <w:rPr>
          <w:sz w:val="20"/>
        </w:rPr>
      </w:r>
    </w:p>
    <w:p>
      <w:pPr>
        <w:pStyle w:val="0"/>
        <w:ind w:firstLine="540"/>
        <w:jc w:val="both"/>
      </w:pPr>
      <w:r>
        <w:rPr>
          <w:sz w:val="20"/>
        </w:rPr>
        <w:t xml:space="preserve">7.1 Отбор проб - по </w:t>
      </w:r>
      <w:hyperlink w:history="0" r:id="rId67"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w:t>
      </w:r>
      <w:hyperlink w:history="0" r:id="rId68"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w:t>
      </w:r>
    </w:p>
    <w:p>
      <w:pPr>
        <w:pStyle w:val="0"/>
        <w:spacing w:before="200" w:line-rule="auto"/>
        <w:ind w:firstLine="540"/>
        <w:jc w:val="both"/>
      </w:pPr>
      <w:r>
        <w:rPr>
          <w:sz w:val="20"/>
        </w:rPr>
        <w:t xml:space="preserve">7.2 Определение запаха, цвета - по </w:t>
      </w:r>
      <w:hyperlink w:history="0" r:id="rId69"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w:t>
      </w:r>
    </w:p>
    <w:p>
      <w:pPr>
        <w:pStyle w:val="0"/>
        <w:spacing w:before="200" w:line-rule="auto"/>
        <w:ind w:firstLine="540"/>
        <w:jc w:val="both"/>
      </w:pPr>
      <w:r>
        <w:rPr>
          <w:sz w:val="20"/>
        </w:rPr>
        <w:t xml:space="preserve">7.3 Определение влажности - по </w:t>
      </w:r>
      <w:hyperlink w:history="0" r:id="rId70"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w:t>
      </w:r>
    </w:p>
    <w:p>
      <w:pPr>
        <w:pStyle w:val="0"/>
        <w:spacing w:before="200" w:line-rule="auto"/>
        <w:ind w:firstLine="540"/>
        <w:jc w:val="both"/>
      </w:pPr>
      <w:r>
        <w:rPr>
          <w:sz w:val="20"/>
        </w:rPr>
        <w:t xml:space="preserve">7.4 Определение кислотности - по </w:t>
      </w:r>
      <w:hyperlink w:history="0" r:id="rId71"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w:t>
      </w:r>
    </w:p>
    <w:p>
      <w:pPr>
        <w:pStyle w:val="0"/>
        <w:spacing w:before="200" w:line-rule="auto"/>
        <w:ind w:firstLine="540"/>
        <w:jc w:val="both"/>
      </w:pPr>
      <w:r>
        <w:rPr>
          <w:sz w:val="20"/>
        </w:rPr>
        <w:t xml:space="preserve">7.5 Определение сорной, зерновой примесей, мелких зерен и крупности - по </w:t>
      </w:r>
      <w:hyperlink w:history="0" r:id="rId72"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7.6 Определение зараженности вредителями - по </w:t>
      </w:r>
      <w:hyperlink w:history="0" r:id="rId73"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w:t>
      </w:r>
      <w:hyperlink w:history="0" r:id="rId74"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w:t>
      </w:r>
    </w:p>
    <w:p>
      <w:pPr>
        <w:pStyle w:val="0"/>
        <w:spacing w:before="200" w:line-rule="auto"/>
        <w:ind w:firstLine="540"/>
        <w:jc w:val="both"/>
      </w:pPr>
      <w:r>
        <w:rPr>
          <w:sz w:val="20"/>
        </w:rPr>
        <w:t xml:space="preserve">7.7 Определение загрязненности вредителями - по </w:t>
      </w:r>
      <w:hyperlink w:history="0" r:id="rId75"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7.8 Определение пленчатости - по </w:t>
      </w:r>
      <w:hyperlink w:history="0" r:id="rId76" w:tooltip="&quot;ГОСТ 10843-76. Государственный стандарт Союза ССР. Зерно. Метод определения пленчатости&quot; (утв. и введен в действие Постановлением Госстандарта СССР от 09.01.1976 N 74) {КонсультантПлюс}">
        <w:r>
          <w:rPr>
            <w:sz w:val="20"/>
            <w:color w:val="0000ff"/>
          </w:rPr>
          <w:t xml:space="preserve">ГОСТ 10843</w:t>
        </w:r>
      </w:hyperlink>
      <w:r>
        <w:rPr>
          <w:sz w:val="20"/>
        </w:rPr>
        <w:t xml:space="preserve">.</w:t>
      </w:r>
    </w:p>
    <w:p>
      <w:pPr>
        <w:pStyle w:val="0"/>
        <w:spacing w:before="200" w:line-rule="auto"/>
        <w:ind w:firstLine="540"/>
        <w:jc w:val="both"/>
      </w:pPr>
      <w:r>
        <w:rPr>
          <w:sz w:val="20"/>
        </w:rPr>
        <w:t xml:space="preserve">7.9 Определение содержания ядра Я, %, вычисляют по формуле</w:t>
      </w:r>
    </w:p>
    <w:p>
      <w:pPr>
        <w:pStyle w:val="0"/>
        <w:ind w:firstLine="540"/>
        <w:jc w:val="both"/>
      </w:pPr>
      <w:r>
        <w:rPr>
          <w:sz w:val="20"/>
        </w:rPr>
      </w:r>
    </w:p>
    <w:p>
      <w:pPr>
        <w:pStyle w:val="0"/>
        <w:jc w:val="center"/>
      </w:pPr>
      <w:r>
        <w:rPr>
          <w:position w:val="-25"/>
        </w:rPr>
        <w:drawing>
          <wp:inline distT="0" distB="0" distL="0" distR="0">
            <wp:extent cx="2543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2543175" cy="447675"/>
                    </a:xfrm>
                    <a:prstGeom prst="rect">
                      <a:avLst/>
                    </a:prstGeom>
                    <a:noFill/>
                    <a:ln>
                      <a:noFill/>
                    </a:ln>
                  </pic:spPr>
                </pic:pic>
              </a:graphicData>
            </a:graphic>
          </wp:inline>
        </w:drawing>
      </w:r>
      <w:r>
        <w:rPr>
          <w:sz w:val="20"/>
        </w:rPr>
        <w:t xml:space="preserve">, (1)</w:t>
      </w:r>
    </w:p>
    <w:p>
      <w:pPr>
        <w:pStyle w:val="0"/>
        <w:ind w:firstLine="540"/>
        <w:jc w:val="both"/>
      </w:pPr>
      <w:r>
        <w:rPr>
          <w:sz w:val="20"/>
        </w:rPr>
      </w:r>
    </w:p>
    <w:p>
      <w:pPr>
        <w:pStyle w:val="0"/>
        <w:ind w:firstLine="540"/>
        <w:jc w:val="both"/>
      </w:pPr>
      <w:r>
        <w:rPr>
          <w:sz w:val="20"/>
        </w:rPr>
        <w:t xml:space="preserve">где С</w:t>
      </w:r>
      <w:r>
        <w:rPr>
          <w:sz w:val="20"/>
          <w:vertAlign w:val="subscript"/>
        </w:rPr>
        <w:t xml:space="preserve">п</w:t>
      </w:r>
      <w:r>
        <w:rPr>
          <w:sz w:val="20"/>
        </w:rPr>
        <w:t xml:space="preserve"> - сорная примесь, %;</w:t>
      </w:r>
    </w:p>
    <w:p>
      <w:pPr>
        <w:pStyle w:val="0"/>
        <w:spacing w:before="200" w:line-rule="auto"/>
        <w:ind w:firstLine="540"/>
        <w:jc w:val="both"/>
      </w:pPr>
      <w:r>
        <w:rPr>
          <w:sz w:val="20"/>
        </w:rPr>
        <w:t xml:space="preserve">З</w:t>
      </w:r>
      <w:r>
        <w:rPr>
          <w:sz w:val="20"/>
          <w:vertAlign w:val="subscript"/>
        </w:rPr>
        <w:t xml:space="preserve">п</w:t>
      </w:r>
      <w:r>
        <w:rPr>
          <w:sz w:val="20"/>
        </w:rPr>
        <w:t xml:space="preserve"> - зерновая примесь, %;</w:t>
      </w:r>
    </w:p>
    <w:p>
      <w:pPr>
        <w:pStyle w:val="0"/>
        <w:spacing w:before="200" w:line-rule="auto"/>
        <w:ind w:firstLine="540"/>
        <w:jc w:val="both"/>
      </w:pPr>
      <w:r>
        <w:rPr>
          <w:sz w:val="20"/>
        </w:rPr>
        <w:t xml:space="preserve">П - пленчатость, %;</w:t>
      </w:r>
    </w:p>
    <w:p>
      <w:pPr>
        <w:pStyle w:val="0"/>
        <w:spacing w:before="200" w:line-rule="auto"/>
        <w:ind w:firstLine="540"/>
        <w:jc w:val="both"/>
      </w:pPr>
      <w:r>
        <w:rPr>
          <w:sz w:val="20"/>
        </w:rPr>
        <w:t xml:space="preserve">З</w:t>
      </w:r>
      <w:r>
        <w:rPr>
          <w:sz w:val="20"/>
          <w:vertAlign w:val="subscript"/>
        </w:rPr>
        <w:t xml:space="preserve">обр</w:t>
      </w:r>
      <w:r>
        <w:rPr>
          <w:sz w:val="20"/>
        </w:rPr>
        <w:t xml:space="preserve"> - обрушенные зерна, %;</w:t>
      </w:r>
    </w:p>
    <w:p>
      <w:pPr>
        <w:pStyle w:val="0"/>
        <w:spacing w:before="200" w:line-rule="auto"/>
        <w:ind w:firstLine="540"/>
        <w:jc w:val="both"/>
      </w:pPr>
      <w:r>
        <w:rPr>
          <w:sz w:val="20"/>
        </w:rPr>
        <w:t xml:space="preserve">0,7 - коэффициент использования обрушенных зерен.</w:t>
      </w:r>
    </w:p>
    <w:p>
      <w:pPr>
        <w:pStyle w:val="0"/>
        <w:spacing w:before="200" w:line-rule="auto"/>
        <w:ind w:firstLine="540"/>
        <w:jc w:val="both"/>
      </w:pPr>
      <w:r>
        <w:rPr>
          <w:sz w:val="20"/>
        </w:rPr>
        <w:t xml:space="preserve">7.10 Определение микробиологических показателей - по </w:t>
      </w:r>
      <w:hyperlink w:history="0" r:id="rId78" w:tooltip="&quot;ГОСТ 26972-86. Государственный стандарт Союза ССР. Зерно, крупа, мука, толокно для продуктов детского питания. Методы микробиологического анализа&quot; (утв. и введен в действие Постановлением Госстандарта СССР от 20.08.1986 N 2439) {КонсультантПлюс}">
        <w:r>
          <w:rPr>
            <w:sz w:val="20"/>
            <w:color w:val="0000ff"/>
          </w:rPr>
          <w:t xml:space="preserve">ГОСТ 26972</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7.11 Подготовка проб и минерализация для определения содержания токсичных элементов - по </w:t>
      </w:r>
      <w:hyperlink w:history="0" r:id="rId79"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80"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w:t>
      </w:r>
      <w:hyperlink w:history="0" r:id="rId81"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или по нормативным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7.12 Определение ртути - по </w:t>
      </w:r>
      <w:hyperlink w:history="0" r:id="rId82"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83"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w:t>
      </w:r>
      <w:hyperlink w:history="0" r:id="rId84"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w:t>
      </w:r>
    </w:p>
    <w:p>
      <w:pPr>
        <w:pStyle w:val="0"/>
        <w:spacing w:before="200" w:line-rule="auto"/>
        <w:ind w:firstLine="540"/>
        <w:jc w:val="both"/>
      </w:pPr>
      <w:r>
        <w:rPr>
          <w:sz w:val="20"/>
        </w:rPr>
        <w:t xml:space="preserve">7.13 Определение мышьяка - по </w:t>
      </w:r>
      <w:hyperlink w:history="0" r:id="rId85"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86"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87"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88"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7.14 Определение свинца - по </w:t>
      </w:r>
      <w:hyperlink w:history="0" r:id="rId89"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90"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91"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2"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ГОСТ EN 14084.</w:t>
      </w:r>
    </w:p>
    <w:p>
      <w:pPr>
        <w:pStyle w:val="0"/>
        <w:spacing w:before="200" w:line-rule="auto"/>
        <w:ind w:firstLine="540"/>
        <w:jc w:val="both"/>
      </w:pPr>
      <w:r>
        <w:rPr>
          <w:sz w:val="20"/>
        </w:rPr>
        <w:t xml:space="preserve">7.15 Определение кадмия - по </w:t>
      </w:r>
      <w:hyperlink w:history="0" r:id="rId93"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94"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95"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6"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ГОСТ EN 14084.</w:t>
      </w:r>
    </w:p>
    <w:p>
      <w:pPr>
        <w:pStyle w:val="0"/>
        <w:spacing w:before="200" w:line-rule="auto"/>
        <w:ind w:firstLine="540"/>
        <w:jc w:val="both"/>
      </w:pPr>
      <w:r>
        <w:rPr>
          <w:sz w:val="20"/>
        </w:rPr>
        <w:t xml:space="preserve">7.16 Определение пестицидов - по </w:t>
      </w:r>
      <w:hyperlink w:history="0" r:id="rId97"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98"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или по нормативным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7.17 Отбор проб для определения микотоксинов - по </w:t>
      </w:r>
      <w:hyperlink w:history="0" r:id="rId99"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w:t>
      </w:r>
    </w:p>
    <w:p>
      <w:pPr>
        <w:pStyle w:val="0"/>
        <w:spacing w:before="200" w:line-rule="auto"/>
        <w:ind w:firstLine="540"/>
        <w:jc w:val="both"/>
      </w:pPr>
      <w:r>
        <w:rPr>
          <w:sz w:val="20"/>
        </w:rPr>
        <w:t xml:space="preserve">7.18 Определение микотоксинов - по </w:t>
      </w:r>
      <w:hyperlink w:history="0" r:id="rId100"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101"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w:t>
      </w:r>
      <w:hyperlink w:history="0" r:id="rId102"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или по нормативным документам, действующим на территории государства, принявшего стандарт, а также</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103"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104"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Т-2 токсина - по </w:t>
      </w:r>
      <w:hyperlink w:history="0" r:id="rId10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или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 зеараленона - по </w:t>
      </w:r>
      <w:hyperlink w:history="0" r:id="rId106"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охратоксина А - по </w:t>
      </w:r>
      <w:hyperlink w:history="0" r:id="rId107"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08"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или по нормативным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7.19 Определение бенз(a)пирена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7.20 Отбор проб для определения радионуклидов - по </w:t>
      </w:r>
      <w:hyperlink w:history="0" r:id="rId109"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7.21 Определение радионуклидов - по </w:t>
      </w:r>
      <w:hyperlink w:history="0" r:id="rId110"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11"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w:t>
      </w:r>
    </w:p>
    <w:p>
      <w:pPr>
        <w:pStyle w:val="0"/>
        <w:spacing w:before="200" w:line-rule="auto"/>
        <w:ind w:firstLine="540"/>
        <w:jc w:val="both"/>
      </w:pPr>
      <w:r>
        <w:rPr>
          <w:sz w:val="20"/>
        </w:rPr>
        <w:t xml:space="preserve">7.22 Определение остаточных количеств 2,4-Д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7.23 Определение ртутьорганических пестицидов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7.24 Определение ГМО - по ГОСТ ИСО 21569, ГОСТ ИСО 21570, ГОСТ ИСО 21571 или по нормативным документам, действующим на территории государства, принявшего стандарт, и обеспечивающим сопоставимость результатов.</w:t>
      </w:r>
    </w:p>
    <w:p>
      <w:pPr>
        <w:pStyle w:val="0"/>
        <w:ind w:firstLine="540"/>
        <w:jc w:val="both"/>
      </w:pPr>
      <w:r>
        <w:rPr>
          <w:sz w:val="20"/>
        </w:rPr>
      </w:r>
    </w:p>
    <w:p>
      <w:pPr>
        <w:pStyle w:val="2"/>
        <w:outlineLvl w:val="1"/>
        <w:ind w:firstLine="540"/>
        <w:jc w:val="both"/>
      </w:pPr>
      <w:r>
        <w:rPr>
          <w:sz w:val="20"/>
          <w:b w:val="on"/>
        </w:rPr>
        <w:t xml:space="preserve">8 Транспортирование и хранение</w:t>
      </w:r>
    </w:p>
    <w:p>
      <w:pPr>
        <w:pStyle w:val="0"/>
        <w:ind w:firstLine="540"/>
        <w:jc w:val="both"/>
      </w:pPr>
      <w:r>
        <w:rPr>
          <w:sz w:val="20"/>
        </w:rPr>
      </w:r>
    </w:p>
    <w:p>
      <w:pPr>
        <w:pStyle w:val="0"/>
        <w:ind w:firstLine="540"/>
        <w:jc w:val="both"/>
      </w:pPr>
      <w:r>
        <w:rPr>
          <w:sz w:val="20"/>
        </w:rPr>
        <w:t xml:space="preserve">8.1 Гречиху размещают, транспортируют и хранят раздельно по классам в чистых, сухих, без постороннего запаха, не зараженных вредителями транспортных средствах и зернохранилищах в соответствии с санитарными правилами и нормами, утвержденными в установленном порядке, а также правилами перевозок, действующими на транспорте данного вида.</w:t>
      </w:r>
    </w:p>
    <w:p>
      <w:pPr>
        <w:pStyle w:val="0"/>
        <w:spacing w:before="200" w:line-rule="auto"/>
        <w:ind w:firstLine="540"/>
        <w:jc w:val="both"/>
      </w:pPr>
      <w:r>
        <w:rPr>
          <w:sz w:val="20"/>
        </w:rPr>
        <w:t xml:space="preserve">8.2 Гречиху, предназначенную для выработки продуктов детского питания, размещают, транспортируют и хранят отдельно.</w:t>
      </w:r>
    </w:p>
    <w:p>
      <w:pPr>
        <w:pStyle w:val="0"/>
        <w:spacing w:before="200" w:line-rule="auto"/>
        <w:ind w:firstLine="540"/>
        <w:jc w:val="both"/>
      </w:pPr>
      <w:r>
        <w:rPr>
          <w:sz w:val="20"/>
        </w:rPr>
        <w:t xml:space="preserve">8.3 При размещении, транспортировании и хранении гречихи учитывают состояния и категории по влажности, засоренности и крупности, указанные в </w:t>
      </w:r>
      <w:hyperlink w:history="0" w:anchor="P276" w:tooltip="Таблица 2">
        <w:r>
          <w:rPr>
            <w:sz w:val="20"/>
            <w:color w:val="0000ff"/>
          </w:rPr>
          <w:t xml:space="preserve">таблице 2</w:t>
        </w:r>
      </w:hyperlink>
      <w:r>
        <w:rPr>
          <w:sz w:val="20"/>
        </w:rPr>
        <w:t xml:space="preserve">.</w:t>
      </w:r>
    </w:p>
    <w:p>
      <w:pPr>
        <w:pStyle w:val="0"/>
        <w:ind w:firstLine="540"/>
        <w:jc w:val="both"/>
      </w:pPr>
      <w:r>
        <w:rPr>
          <w:sz w:val="20"/>
        </w:rPr>
      </w:r>
    </w:p>
    <w:bookmarkStart w:id="276" w:name="P276"/>
    <w:bookmarkEnd w:id="276"/>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4"/>
        <w:gridCol w:w="4534"/>
      </w:tblGrid>
      <w:tr>
        <w:tblPrEx>
          <w:tblBorders>
            <w:insideH w:val="single" w:sz="4"/>
          </w:tblBorders>
        </w:tblPrEx>
        <w:tc>
          <w:tcPr>
            <w:tcW w:w="4534" w:type="dxa"/>
            <w:vAlign w:val="center"/>
            <w:tcBorders>
              <w:top w:val="single" w:sz="4"/>
              <w:bottom w:val="single" w:sz="4"/>
            </w:tcBorders>
          </w:tcPr>
          <w:p>
            <w:pPr>
              <w:pStyle w:val="0"/>
              <w:jc w:val="center"/>
            </w:pPr>
            <w:r>
              <w:rPr>
                <w:sz w:val="20"/>
              </w:rPr>
              <w:t xml:space="preserve">Состояние, категории гречихи</w:t>
            </w:r>
          </w:p>
        </w:tc>
        <w:tc>
          <w:tcPr>
            <w:tcW w:w="4534" w:type="dxa"/>
            <w:vAlign w:val="center"/>
            <w:tcBorders>
              <w:top w:val="single" w:sz="4"/>
              <w:bottom w:val="single" w:sz="4"/>
            </w:tcBorders>
          </w:tcPr>
          <w:p>
            <w:pPr>
              <w:pStyle w:val="0"/>
              <w:jc w:val="center"/>
            </w:pPr>
            <w:r>
              <w:rPr>
                <w:sz w:val="20"/>
              </w:rPr>
              <w:t xml:space="preserve">Норма, %</w:t>
            </w:r>
          </w:p>
        </w:tc>
      </w:tr>
      <w:tr>
        <w:tblPrEx>
          <w:tblBorders>
            <w:insideH w:val="single" w:sz="4"/>
          </w:tblBorders>
        </w:tblPrEx>
        <w:tc>
          <w:tcPr>
            <w:gridSpan w:val="2"/>
            <w:tcW w:w="9068" w:type="dxa"/>
            <w:tcBorders>
              <w:top w:val="single" w:sz="4"/>
              <w:bottom w:val="single" w:sz="4"/>
            </w:tcBorders>
          </w:tcPr>
          <w:p>
            <w:pPr>
              <w:pStyle w:val="0"/>
              <w:jc w:val="center"/>
            </w:pPr>
            <w:r>
              <w:rPr>
                <w:sz w:val="20"/>
              </w:rPr>
              <w:t xml:space="preserve">По влажности</w:t>
            </w:r>
          </w:p>
        </w:tc>
      </w:tr>
      <w:tr>
        <w:tc>
          <w:tcPr>
            <w:tcW w:w="4534" w:type="dxa"/>
            <w:tcBorders>
              <w:top w:val="single" w:sz="4"/>
              <w:bottom w:val="nil"/>
            </w:tcBorders>
          </w:tcPr>
          <w:p>
            <w:pPr>
              <w:pStyle w:val="0"/>
            </w:pPr>
            <w:r>
              <w:rPr>
                <w:sz w:val="20"/>
              </w:rPr>
              <w:t xml:space="preserve">Сухое</w:t>
            </w:r>
          </w:p>
        </w:tc>
        <w:tc>
          <w:tcPr>
            <w:tcW w:w="4534" w:type="dxa"/>
            <w:tcBorders>
              <w:top w:val="single" w:sz="4"/>
              <w:bottom w:val="nil"/>
            </w:tcBorders>
          </w:tcPr>
          <w:p>
            <w:pPr>
              <w:pStyle w:val="0"/>
              <w:jc w:val="center"/>
            </w:pPr>
            <w:r>
              <w:rPr>
                <w:sz w:val="20"/>
              </w:rPr>
              <w:t xml:space="preserve">Не более 14,5</w:t>
            </w:r>
          </w:p>
        </w:tc>
      </w:tr>
      <w:tr>
        <w:tc>
          <w:tcPr>
            <w:tcW w:w="4534" w:type="dxa"/>
            <w:tcBorders>
              <w:top w:val="nil"/>
              <w:bottom w:val="nil"/>
            </w:tcBorders>
          </w:tcPr>
          <w:p>
            <w:pPr>
              <w:pStyle w:val="0"/>
            </w:pPr>
            <w:r>
              <w:rPr>
                <w:sz w:val="20"/>
              </w:rPr>
              <w:t xml:space="preserve">Средней сухости</w:t>
            </w:r>
          </w:p>
        </w:tc>
        <w:tc>
          <w:tcPr>
            <w:tcW w:w="4534" w:type="dxa"/>
            <w:tcBorders>
              <w:top w:val="nil"/>
              <w:bottom w:val="nil"/>
            </w:tcBorders>
          </w:tcPr>
          <w:p>
            <w:pPr>
              <w:pStyle w:val="0"/>
              <w:jc w:val="center"/>
            </w:pPr>
            <w:r>
              <w:rPr>
                <w:sz w:val="20"/>
              </w:rPr>
              <w:t xml:space="preserve">14,6 - 15,5</w:t>
            </w:r>
          </w:p>
        </w:tc>
      </w:tr>
      <w:tr>
        <w:tc>
          <w:tcPr>
            <w:tcW w:w="4534" w:type="dxa"/>
            <w:tcBorders>
              <w:top w:val="nil"/>
              <w:bottom w:val="nil"/>
            </w:tcBorders>
          </w:tcPr>
          <w:p>
            <w:pPr>
              <w:pStyle w:val="0"/>
            </w:pPr>
            <w:r>
              <w:rPr>
                <w:sz w:val="20"/>
              </w:rPr>
              <w:t xml:space="preserve">Влажное</w:t>
            </w:r>
          </w:p>
        </w:tc>
        <w:tc>
          <w:tcPr>
            <w:tcW w:w="4534" w:type="dxa"/>
            <w:tcBorders>
              <w:top w:val="nil"/>
              <w:bottom w:val="nil"/>
            </w:tcBorders>
          </w:tcPr>
          <w:p>
            <w:pPr>
              <w:pStyle w:val="0"/>
              <w:jc w:val="center"/>
            </w:pPr>
            <w:r>
              <w:rPr>
                <w:sz w:val="20"/>
              </w:rPr>
              <w:t xml:space="preserve">15,6 - 17,0</w:t>
            </w:r>
          </w:p>
        </w:tc>
      </w:tr>
      <w:tr>
        <w:tc>
          <w:tcPr>
            <w:tcW w:w="4534" w:type="dxa"/>
            <w:tcBorders>
              <w:top w:val="nil"/>
              <w:bottom w:val="single" w:sz="4"/>
            </w:tcBorders>
          </w:tcPr>
          <w:p>
            <w:pPr>
              <w:pStyle w:val="0"/>
            </w:pPr>
            <w:r>
              <w:rPr>
                <w:sz w:val="20"/>
              </w:rPr>
              <w:t xml:space="preserve">Сырое</w:t>
            </w:r>
          </w:p>
        </w:tc>
        <w:tc>
          <w:tcPr>
            <w:tcW w:w="4534" w:type="dxa"/>
            <w:tcBorders>
              <w:top w:val="nil"/>
              <w:bottom w:val="single" w:sz="4"/>
            </w:tcBorders>
          </w:tcPr>
          <w:p>
            <w:pPr>
              <w:pStyle w:val="0"/>
              <w:jc w:val="center"/>
            </w:pPr>
            <w:r>
              <w:rPr>
                <w:sz w:val="20"/>
              </w:rPr>
              <w:t xml:space="preserve">17,1 и более</w:t>
            </w:r>
          </w:p>
        </w:tc>
      </w:tr>
      <w:tr>
        <w:tblPrEx>
          <w:tblBorders>
            <w:insideH w:val="single" w:sz="4"/>
          </w:tblBorders>
        </w:tblPrEx>
        <w:tc>
          <w:tcPr>
            <w:gridSpan w:val="2"/>
            <w:tcW w:w="9068" w:type="dxa"/>
            <w:tcBorders>
              <w:top w:val="single" w:sz="4"/>
              <w:bottom w:val="single" w:sz="4"/>
            </w:tcBorders>
          </w:tcPr>
          <w:p>
            <w:pPr>
              <w:pStyle w:val="0"/>
              <w:jc w:val="center"/>
            </w:pPr>
            <w:r>
              <w:rPr>
                <w:sz w:val="20"/>
              </w:rPr>
              <w:t xml:space="preserve">По сорной примеси</w:t>
            </w:r>
          </w:p>
        </w:tc>
      </w:tr>
      <w:tr>
        <w:tc>
          <w:tcPr>
            <w:tcW w:w="4534" w:type="dxa"/>
            <w:tcBorders>
              <w:top w:val="single" w:sz="4"/>
              <w:bottom w:val="nil"/>
            </w:tcBorders>
          </w:tcPr>
          <w:p>
            <w:pPr>
              <w:pStyle w:val="0"/>
            </w:pPr>
            <w:r>
              <w:rPr>
                <w:sz w:val="20"/>
              </w:rPr>
              <w:t xml:space="preserve">Чистое</w:t>
            </w:r>
          </w:p>
        </w:tc>
        <w:tc>
          <w:tcPr>
            <w:tcW w:w="4534" w:type="dxa"/>
            <w:tcBorders>
              <w:top w:val="single" w:sz="4"/>
              <w:bottom w:val="nil"/>
            </w:tcBorders>
          </w:tcPr>
          <w:p>
            <w:pPr>
              <w:pStyle w:val="0"/>
              <w:jc w:val="center"/>
            </w:pPr>
            <w:r>
              <w:rPr>
                <w:sz w:val="20"/>
              </w:rPr>
              <w:t xml:space="preserve">Не более 1,0</w:t>
            </w:r>
          </w:p>
        </w:tc>
      </w:tr>
      <w:tr>
        <w:tc>
          <w:tcPr>
            <w:tcW w:w="4534" w:type="dxa"/>
            <w:tcBorders>
              <w:top w:val="nil"/>
              <w:bottom w:val="nil"/>
            </w:tcBorders>
          </w:tcPr>
          <w:p>
            <w:pPr>
              <w:pStyle w:val="0"/>
            </w:pPr>
            <w:r>
              <w:rPr>
                <w:sz w:val="20"/>
              </w:rPr>
              <w:t xml:space="preserve">Средней чистоты</w:t>
            </w:r>
          </w:p>
        </w:tc>
        <w:tc>
          <w:tcPr>
            <w:tcW w:w="4534" w:type="dxa"/>
            <w:tcBorders>
              <w:top w:val="nil"/>
              <w:bottom w:val="nil"/>
            </w:tcBorders>
          </w:tcPr>
          <w:p>
            <w:pPr>
              <w:pStyle w:val="0"/>
              <w:jc w:val="center"/>
            </w:pPr>
            <w:r>
              <w:rPr>
                <w:sz w:val="20"/>
              </w:rPr>
              <w:t xml:space="preserve">1,1 - 3,0</w:t>
            </w:r>
          </w:p>
        </w:tc>
      </w:tr>
      <w:tr>
        <w:tc>
          <w:tcPr>
            <w:tcW w:w="4534" w:type="dxa"/>
            <w:tcBorders>
              <w:top w:val="nil"/>
              <w:bottom w:val="single" w:sz="4"/>
            </w:tcBorders>
          </w:tcPr>
          <w:p>
            <w:pPr>
              <w:pStyle w:val="0"/>
            </w:pPr>
            <w:r>
              <w:rPr>
                <w:sz w:val="20"/>
              </w:rPr>
              <w:t xml:space="preserve">Сорное</w:t>
            </w:r>
          </w:p>
        </w:tc>
        <w:tc>
          <w:tcPr>
            <w:tcW w:w="4534" w:type="dxa"/>
            <w:tcBorders>
              <w:top w:val="nil"/>
              <w:bottom w:val="single" w:sz="4"/>
            </w:tcBorders>
          </w:tcPr>
          <w:p>
            <w:pPr>
              <w:pStyle w:val="0"/>
              <w:jc w:val="center"/>
            </w:pPr>
            <w:r>
              <w:rPr>
                <w:sz w:val="20"/>
              </w:rPr>
              <w:t xml:space="preserve">3,1 и более</w:t>
            </w:r>
          </w:p>
        </w:tc>
      </w:tr>
      <w:tr>
        <w:tblPrEx>
          <w:tblBorders>
            <w:insideH w:val="single" w:sz="4"/>
          </w:tblBorders>
        </w:tblPrEx>
        <w:tc>
          <w:tcPr>
            <w:gridSpan w:val="2"/>
            <w:tcW w:w="9068" w:type="dxa"/>
            <w:tcBorders>
              <w:top w:val="single" w:sz="4"/>
              <w:bottom w:val="single" w:sz="4"/>
            </w:tcBorders>
          </w:tcPr>
          <w:p>
            <w:pPr>
              <w:pStyle w:val="0"/>
              <w:jc w:val="center"/>
            </w:pPr>
            <w:r>
              <w:rPr>
                <w:sz w:val="20"/>
              </w:rPr>
              <w:t xml:space="preserve">По зерновой примеси</w:t>
            </w:r>
          </w:p>
        </w:tc>
      </w:tr>
      <w:tr>
        <w:tc>
          <w:tcPr>
            <w:tcW w:w="4534" w:type="dxa"/>
            <w:tcBorders>
              <w:top w:val="single" w:sz="4"/>
              <w:bottom w:val="nil"/>
            </w:tcBorders>
          </w:tcPr>
          <w:p>
            <w:pPr>
              <w:pStyle w:val="0"/>
            </w:pPr>
            <w:r>
              <w:rPr>
                <w:sz w:val="20"/>
              </w:rPr>
              <w:t xml:space="preserve">Чистое</w:t>
            </w:r>
          </w:p>
        </w:tc>
        <w:tc>
          <w:tcPr>
            <w:tcW w:w="4534" w:type="dxa"/>
            <w:tcBorders>
              <w:top w:val="single" w:sz="4"/>
              <w:bottom w:val="nil"/>
            </w:tcBorders>
          </w:tcPr>
          <w:p>
            <w:pPr>
              <w:pStyle w:val="0"/>
              <w:jc w:val="center"/>
            </w:pPr>
            <w:r>
              <w:rPr>
                <w:sz w:val="20"/>
              </w:rPr>
              <w:t xml:space="preserve">Не более 1,0</w:t>
            </w:r>
          </w:p>
        </w:tc>
      </w:tr>
      <w:tr>
        <w:tc>
          <w:tcPr>
            <w:tcW w:w="4534" w:type="dxa"/>
            <w:tcBorders>
              <w:top w:val="nil"/>
              <w:bottom w:val="nil"/>
            </w:tcBorders>
          </w:tcPr>
          <w:p>
            <w:pPr>
              <w:pStyle w:val="0"/>
            </w:pPr>
            <w:r>
              <w:rPr>
                <w:sz w:val="20"/>
              </w:rPr>
              <w:t xml:space="preserve">Средней чистоты</w:t>
            </w:r>
          </w:p>
        </w:tc>
        <w:tc>
          <w:tcPr>
            <w:tcW w:w="4534" w:type="dxa"/>
            <w:tcBorders>
              <w:top w:val="nil"/>
              <w:bottom w:val="nil"/>
            </w:tcBorders>
          </w:tcPr>
          <w:p>
            <w:pPr>
              <w:pStyle w:val="0"/>
              <w:jc w:val="center"/>
            </w:pPr>
            <w:r>
              <w:rPr>
                <w:sz w:val="20"/>
              </w:rPr>
              <w:t xml:space="preserve">1,1 - 3,0</w:t>
            </w:r>
          </w:p>
        </w:tc>
      </w:tr>
      <w:tr>
        <w:tc>
          <w:tcPr>
            <w:tcW w:w="4534" w:type="dxa"/>
            <w:tcBorders>
              <w:top w:val="nil"/>
              <w:bottom w:val="single" w:sz="4"/>
            </w:tcBorders>
          </w:tcPr>
          <w:p>
            <w:pPr>
              <w:pStyle w:val="0"/>
            </w:pPr>
            <w:r>
              <w:rPr>
                <w:sz w:val="20"/>
              </w:rPr>
              <w:t xml:space="preserve">Сорное</w:t>
            </w:r>
          </w:p>
        </w:tc>
        <w:tc>
          <w:tcPr>
            <w:tcW w:w="4534" w:type="dxa"/>
            <w:tcBorders>
              <w:top w:val="nil"/>
              <w:bottom w:val="single" w:sz="4"/>
            </w:tcBorders>
          </w:tcPr>
          <w:p>
            <w:pPr>
              <w:pStyle w:val="0"/>
              <w:jc w:val="center"/>
            </w:pPr>
            <w:r>
              <w:rPr>
                <w:sz w:val="20"/>
              </w:rPr>
              <w:t xml:space="preserve">3,1 и более</w:t>
            </w:r>
          </w:p>
        </w:tc>
      </w:tr>
      <w:tr>
        <w:tblPrEx>
          <w:tblBorders>
            <w:insideH w:val="single" w:sz="4"/>
          </w:tblBorders>
        </w:tblPrEx>
        <w:tc>
          <w:tcPr>
            <w:gridSpan w:val="2"/>
            <w:tcW w:w="9068" w:type="dxa"/>
            <w:tcBorders>
              <w:top w:val="single" w:sz="4"/>
              <w:bottom w:val="single" w:sz="4"/>
            </w:tcBorders>
          </w:tcPr>
          <w:p>
            <w:pPr>
              <w:pStyle w:val="0"/>
              <w:jc w:val="center"/>
            </w:pPr>
            <w:r>
              <w:rPr>
                <w:sz w:val="20"/>
              </w:rPr>
              <w:t xml:space="preserve">По крупности (остаток на сите с отверстиями диаметром 4,0 мм)</w:t>
            </w:r>
          </w:p>
        </w:tc>
      </w:tr>
      <w:tr>
        <w:tc>
          <w:tcPr>
            <w:tcW w:w="4534" w:type="dxa"/>
            <w:tcBorders>
              <w:top w:val="single" w:sz="4"/>
              <w:bottom w:val="nil"/>
            </w:tcBorders>
          </w:tcPr>
          <w:p>
            <w:pPr>
              <w:pStyle w:val="0"/>
            </w:pPr>
            <w:r>
              <w:rPr>
                <w:sz w:val="20"/>
              </w:rPr>
              <w:t xml:space="preserve">Крупная</w:t>
            </w:r>
          </w:p>
        </w:tc>
        <w:tc>
          <w:tcPr>
            <w:tcW w:w="4534" w:type="dxa"/>
            <w:tcBorders>
              <w:top w:val="single" w:sz="4"/>
              <w:bottom w:val="nil"/>
            </w:tcBorders>
          </w:tcPr>
          <w:p>
            <w:pPr>
              <w:pStyle w:val="0"/>
              <w:jc w:val="center"/>
            </w:pPr>
            <w:r>
              <w:rPr>
                <w:sz w:val="20"/>
              </w:rPr>
              <w:t xml:space="preserve">80 и более</w:t>
            </w:r>
          </w:p>
        </w:tc>
      </w:tr>
      <w:tr>
        <w:tc>
          <w:tcPr>
            <w:tcW w:w="4534" w:type="dxa"/>
            <w:tcBorders>
              <w:top w:val="nil"/>
              <w:bottom w:val="nil"/>
            </w:tcBorders>
          </w:tcPr>
          <w:p>
            <w:pPr>
              <w:pStyle w:val="0"/>
            </w:pPr>
            <w:r>
              <w:rPr>
                <w:sz w:val="20"/>
              </w:rPr>
              <w:t xml:space="preserve">Средняя</w:t>
            </w:r>
          </w:p>
        </w:tc>
        <w:tc>
          <w:tcPr>
            <w:tcW w:w="4534" w:type="dxa"/>
            <w:tcBorders>
              <w:top w:val="nil"/>
              <w:bottom w:val="nil"/>
            </w:tcBorders>
          </w:tcPr>
          <w:p>
            <w:pPr>
              <w:pStyle w:val="0"/>
              <w:jc w:val="center"/>
            </w:pPr>
            <w:r>
              <w:rPr>
                <w:sz w:val="20"/>
              </w:rPr>
              <w:t xml:space="preserve">Менее 80 до 50</w:t>
            </w:r>
          </w:p>
        </w:tc>
      </w:tr>
      <w:tr>
        <w:tc>
          <w:tcPr>
            <w:tcW w:w="4534" w:type="dxa"/>
            <w:tcBorders>
              <w:top w:val="nil"/>
              <w:bottom w:val="single" w:sz="4"/>
            </w:tcBorders>
          </w:tcPr>
          <w:p>
            <w:pPr>
              <w:pStyle w:val="0"/>
            </w:pPr>
            <w:r>
              <w:rPr>
                <w:sz w:val="20"/>
              </w:rPr>
              <w:t xml:space="preserve">Мелкая</w:t>
            </w:r>
          </w:p>
        </w:tc>
        <w:tc>
          <w:tcPr>
            <w:tcW w:w="4534" w:type="dxa"/>
            <w:tcBorders>
              <w:top w:val="nil"/>
              <w:bottom w:val="single" w:sz="4"/>
            </w:tcBorders>
          </w:tcPr>
          <w:p>
            <w:pPr>
              <w:pStyle w:val="0"/>
              <w:jc w:val="center"/>
            </w:pPr>
            <w:r>
              <w:rPr>
                <w:sz w:val="20"/>
              </w:rPr>
              <w:t xml:space="preserve">Менее 50</w:t>
            </w:r>
          </w:p>
        </w:tc>
      </w:tr>
    </w:tbl>
    <w:p>
      <w:pPr>
        <w:pStyle w:val="0"/>
        <w:ind w:firstLine="540"/>
        <w:jc w:val="both"/>
      </w:pPr>
      <w:r>
        <w:rPr>
          <w:sz w:val="20"/>
        </w:rPr>
      </w:r>
    </w:p>
    <w:p>
      <w:pPr>
        <w:pStyle w:val="0"/>
        <w:ind w:firstLine="540"/>
        <w:jc w:val="both"/>
      </w:pPr>
      <w:r>
        <w:rPr>
          <w:sz w:val="20"/>
        </w:rPr>
        <w:t xml:space="preserve">8.4 В процессе хранения проводят систематический контроль за качеством и состоянием зерна гречихи. Контролируют: температуру зерна, влажность, зараженность, цвет, запах и другие показатели согласно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8.5 Срок годности и условия хранения зерна гречихи устанавливает изготовитель согласно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67"/>
        <w:gridCol w:w="3912"/>
        <w:gridCol w:w="4592"/>
      </w:tblGrid>
      <w:tr>
        <w:tc>
          <w:tcPr>
            <w:tcW w:w="567" w:type="dxa"/>
            <w:tcBorders>
              <w:top w:val="nil"/>
              <w:left w:val="nil"/>
              <w:bottom w:val="nil"/>
              <w:right w:val="nil"/>
            </w:tcBorders>
          </w:tcPr>
          <w:bookmarkStart w:id="320" w:name="P320"/>
          <w:bookmarkEnd w:id="320"/>
          <w:p>
            <w:pPr>
              <w:pStyle w:val="0"/>
            </w:pPr>
            <w:r>
              <w:rPr>
                <w:sz w:val="20"/>
              </w:rPr>
              <w:t xml:space="preserve">[1]</w:t>
            </w:r>
          </w:p>
        </w:tc>
        <w:tc>
          <w:tcPr>
            <w:tcW w:w="3912" w:type="dxa"/>
            <w:tcBorders>
              <w:top w:val="nil"/>
              <w:left w:val="nil"/>
              <w:bottom w:val="nil"/>
              <w:right w:val="nil"/>
            </w:tcBorders>
          </w:tcPr>
          <w:p>
            <w:pPr>
              <w:pStyle w:val="0"/>
            </w:pPr>
            <w:r>
              <w:rPr>
                <w:sz w:val="20"/>
              </w:rPr>
              <w:t xml:space="preserve">Технический регламент Таможенного союза </w:t>
            </w:r>
            <w:hyperlink w:history="0" r:id="rId112"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4592" w:type="dxa"/>
            <w:tcBorders>
              <w:top w:val="nil"/>
              <w:left w:val="nil"/>
              <w:bottom w:val="nil"/>
              <w:right w:val="nil"/>
            </w:tcBorders>
          </w:tcPr>
          <w:p>
            <w:pPr>
              <w:pStyle w:val="0"/>
              <w:jc w:val="both"/>
            </w:pPr>
            <w:r>
              <w:rPr>
                <w:sz w:val="20"/>
              </w:rPr>
              <w:t xml:space="preserve">О безопасности зерна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535"/>
      </w:tblGrid>
      <w:tr>
        <w:tc>
          <w:tcPr>
            <w:tcW w:w="4535" w:type="dxa"/>
            <w:tcBorders>
              <w:top w:val="single" w:sz="4"/>
              <w:left w:val="nil"/>
              <w:bottom w:val="nil"/>
              <w:right w:val="nil"/>
            </w:tcBorders>
          </w:tcPr>
          <w:p>
            <w:pPr>
              <w:pStyle w:val="0"/>
            </w:pPr>
            <w:r>
              <w:rPr>
                <w:sz w:val="20"/>
              </w:rPr>
              <w:t xml:space="preserve">УДК 664.762:633.12:006.354</w:t>
            </w:r>
          </w:p>
        </w:tc>
        <w:tc>
          <w:tcPr>
            <w:tcW w:w="4535" w:type="dxa"/>
            <w:tcBorders>
              <w:top w:val="single" w:sz="4"/>
              <w:left w:val="nil"/>
              <w:bottom w:val="nil"/>
              <w:right w:val="nil"/>
            </w:tcBorders>
          </w:tcPr>
          <w:p>
            <w:pPr>
              <w:pStyle w:val="0"/>
              <w:jc w:val="right"/>
            </w:pPr>
            <w:r>
              <w:rPr>
                <w:sz w:val="20"/>
              </w:rPr>
              <w:t xml:space="preserve">МКС </w:t>
            </w:r>
            <w:hyperlink w:history="0" r:id="rId113"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tc>
      </w:tr>
      <w:tr>
        <w:tc>
          <w:tcPr>
            <w:gridSpan w:val="2"/>
            <w:tcW w:w="9070" w:type="dxa"/>
            <w:tcBorders>
              <w:top w:val="nil"/>
              <w:left w:val="nil"/>
              <w:bottom w:val="single" w:sz="4"/>
              <w:right w:val="nil"/>
            </w:tcBorders>
          </w:tcPr>
          <w:p>
            <w:pPr>
              <w:pStyle w:val="0"/>
              <w:jc w:val="both"/>
            </w:pPr>
            <w:r>
              <w:rPr>
                <w:sz w:val="20"/>
              </w:rPr>
              <w:t xml:space="preserve">Ключевые слова: крупа гречневая, ядрица, продел</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19092-2021. Межгосударственный стандарт. Гречиха. Технические условия"</w:t>
            <w:br/>
            <w:t>(введен в действие Приказом Росстандарта от...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0A939DB8E8DF29E71606767C8103BB75E70E52E1E14CE37DC3F85D451E2E04E5313CD4CA1F16830281D5257AM9S0N" TargetMode = "External"/>
	<Relationship Id="rId8" Type="http://schemas.openxmlformats.org/officeDocument/2006/relationships/hyperlink" Target="consultantplus://offline/ref=E60A939DB8E8DF29E71606767C8103BB72E30E59E2EF4CE37DC3F85D451E2E04F73164D8C814098B0B9483743CC7E7C02F1B344B73945BF0M3SCN" TargetMode = "External"/>
	<Relationship Id="rId9" Type="http://schemas.openxmlformats.org/officeDocument/2006/relationships/hyperlink" Target="consultantplus://offline/ref=E60A939DB8E8DF29E7160563658103BB70E60F5BE1ED11E9759AF45F42117101F02064DBC10809831D9DD727M7SAN" TargetMode = "External"/>
	<Relationship Id="rId10" Type="http://schemas.openxmlformats.org/officeDocument/2006/relationships/hyperlink" Target="consultantplus://offline/ref=E60A939DB8E8DF29E7160563658103BB73E5065EE1ED11E9759AF45F42117101F02064DBC10809831D9DD727M7SAN" TargetMode = "External"/>
	<Relationship Id="rId11" Type="http://schemas.openxmlformats.org/officeDocument/2006/relationships/hyperlink" Target="consultantplus://offline/ref=E60A939DB8E8DF29E71606767C8103BB75E70E52E1E14CE37DC3F85D451E2E04F73164D8C8160882059483743CC7E7C02F1B344B73945BF0M3SCN" TargetMode = "External"/>
	<Relationship Id="rId12" Type="http://schemas.openxmlformats.org/officeDocument/2006/relationships/hyperlink" Target="consultantplus://offline/ref=E60A939DB8E8DF29E7161963798103BB75E4085BEBB01BE12C96F6584D4E7414E1786BD0D617099C019FD5M2S7N" TargetMode = "External"/>
	<Relationship Id="rId13" Type="http://schemas.openxmlformats.org/officeDocument/2006/relationships/hyperlink" Target="consultantplus://offline/ref=E60A939DB8E8DF29E7161963798103BB74E1085DEBB01BE12C96F6584D4E7414E1786BD0D617099C019FD5M2S7N" TargetMode = "External"/>
	<Relationship Id="rId14" Type="http://schemas.openxmlformats.org/officeDocument/2006/relationships/hyperlink" Target="consultantplus://offline/ref=E60A939DB8E8DF29E7161963798103BB72E00B51B6BA13B82094F157124B6105B97760C7C9171680039DMDS5N" TargetMode = "External"/>
	<Relationship Id="rId15" Type="http://schemas.openxmlformats.org/officeDocument/2006/relationships/hyperlink" Target="consultantplus://offline/ref=E60A939DB8E8DF29E7161963798103BB75E60D5AEBB01BE12C96F6584D4E7414E1786BD0D617099C019FD5M2S7N" TargetMode = "External"/>
	<Relationship Id="rId16" Type="http://schemas.openxmlformats.org/officeDocument/2006/relationships/hyperlink" Target="consultantplus://offline/ref=E60A939DB8E8DF29E7161963798103BB75E60A5BEBB01BE12C96F6584D4E7414E1786BD0D617099C019FD5M2S7N" TargetMode = "External"/>
	<Relationship Id="rId17" Type="http://schemas.openxmlformats.org/officeDocument/2006/relationships/hyperlink" Target="consultantplus://offline/ref=E60A939DB8E8DF29E7160563658103BB75E60C5FEBB01BE12C96F6584D4E7414E1786BD0D617099C019FD5M2S7N" TargetMode = "External"/>
	<Relationship Id="rId18" Type="http://schemas.openxmlformats.org/officeDocument/2006/relationships/hyperlink" Target="consultantplus://offline/ref=E60A939DB8E8DF29E7160563658103BB73E20B5BE6ED11E9759AF45F42117101F02064DBC10809831D9DD727M7SAN" TargetMode = "External"/>
	<Relationship Id="rId19" Type="http://schemas.openxmlformats.org/officeDocument/2006/relationships/hyperlink" Target="consultantplus://offline/ref=E60A939DB8E8DF29E7160563658103BB73E2075CE6ED11E9759AF45F42117101F02064DBC10809831D9DD727M7SAN" TargetMode = "External"/>
	<Relationship Id="rId20" Type="http://schemas.openxmlformats.org/officeDocument/2006/relationships/hyperlink" Target="consultantplus://offline/ref=E60A939DB8E8DF29E7160563658103BB70E7065AE4ED11E9759AF45F42117101F02064DBC10809831D9DD727M7SAN" TargetMode = "External"/>
	<Relationship Id="rId21" Type="http://schemas.openxmlformats.org/officeDocument/2006/relationships/hyperlink" Target="consultantplus://offline/ref=E60A939DB8E8DF29E7160563658103BB73E50E5CE5ED11E9759AF45F42117101F02064DBC10809831D9DD727M7SAN" TargetMode = "External"/>
	<Relationship Id="rId22" Type="http://schemas.openxmlformats.org/officeDocument/2006/relationships/hyperlink" Target="consultantplus://offline/ref=E60A939DB8E8DF29E7160563658103BB72E40D5EE4ED11E9759AF45F42117101F02064DBC10809831D9DD727M7SAN" TargetMode = "External"/>
	<Relationship Id="rId23" Type="http://schemas.openxmlformats.org/officeDocument/2006/relationships/hyperlink" Target="consultantplus://offline/ref=E60A939DB8E8DF29E7160563658103BB78E50C51B6BA13B82094F157124B6105B97760C7C9171680039DMDS5N" TargetMode = "External"/>
	<Relationship Id="rId24" Type="http://schemas.openxmlformats.org/officeDocument/2006/relationships/hyperlink" Target="consultantplus://offline/ref=E60A939DB8E8DF29E7160563658103BB70E1075CE1ED11E9759AF45F42117101F02064DBC10809831D9DD727M7SAN" TargetMode = "External"/>
	<Relationship Id="rId25" Type="http://schemas.openxmlformats.org/officeDocument/2006/relationships/hyperlink" Target="consultantplus://offline/ref=E60A939DB8E8DF29E7160563658103BB74E20851B6BA13B82094F157124B6105B97760C7C9171680039DMDS5N" TargetMode = "External"/>
	<Relationship Id="rId26" Type="http://schemas.openxmlformats.org/officeDocument/2006/relationships/hyperlink" Target="consultantplus://offline/ref=E60A939DB8E8DF29E7160563658103BB70E40A52E5ED11E9759AF45F42117101F02064DBC10809831D9DD727M7SAN" TargetMode = "External"/>
	<Relationship Id="rId27" Type="http://schemas.openxmlformats.org/officeDocument/2006/relationships/hyperlink" Target="consultantplus://offline/ref=E60A939DB8E8DF29E7160563658103BB70E10758E7ED11E9759AF45F42117101F02064DBC10809831D9DD727M7SAN" TargetMode = "External"/>
	<Relationship Id="rId28" Type="http://schemas.openxmlformats.org/officeDocument/2006/relationships/hyperlink" Target="consultantplus://offline/ref=E60A939DB8E8DF29E7160563658103BB70E1065FE1ED11E9759AF45F42117101F02064DBC10809831D9DD727M7SAN" TargetMode = "External"/>
	<Relationship Id="rId29" Type="http://schemas.openxmlformats.org/officeDocument/2006/relationships/hyperlink" Target="consultantplus://offline/ref=E60A939DB8E8DF29E7160563658103BB79E30B5CEBB01BE12C96F6584D4E7414E1786BD0D617099C019FD5M2S7N" TargetMode = "External"/>
	<Relationship Id="rId30" Type="http://schemas.openxmlformats.org/officeDocument/2006/relationships/hyperlink" Target="consultantplus://offline/ref=E60A939DB8E8DF29E7160563658103BB70E50B5EEBB01BE12C96F6584D4E7414E1786BD0D617099C019FD5M2S7N" TargetMode = "External"/>
	<Relationship Id="rId31" Type="http://schemas.openxmlformats.org/officeDocument/2006/relationships/hyperlink" Target="consultantplus://offline/ref=E60A939DB8E8DF29E7160563658103BB75E30E58EBB01BE12C96F6584D4E7414E1786BD0D617099C019FD5M2S7N" TargetMode = "External"/>
	<Relationship Id="rId32" Type="http://schemas.openxmlformats.org/officeDocument/2006/relationships/hyperlink" Target="consultantplus://offline/ref=E60A939DB8E8DF29E7160563658103BB77E5075EEBB01BE12C96F6584D4E7414E1786BD0D617099C019FD5M2S7N" TargetMode = "External"/>
	<Relationship Id="rId33" Type="http://schemas.openxmlformats.org/officeDocument/2006/relationships/hyperlink" Target="consultantplus://offline/ref=E60A939DB8E8DF29E7160563658103BB74E20F51B6BA13B82094F157124B6105B97760C7C9171680039DMDS5N" TargetMode = "External"/>
	<Relationship Id="rId34" Type="http://schemas.openxmlformats.org/officeDocument/2006/relationships/hyperlink" Target="consultantplus://offline/ref=E60A939DB8E8DF29E7160563658103BB70E60E58EBB01BE12C96F6584D4E7414E1786BD0D617099C019FD5M2S7N" TargetMode = "External"/>
	<Relationship Id="rId35" Type="http://schemas.openxmlformats.org/officeDocument/2006/relationships/hyperlink" Target="consultantplus://offline/ref=E60A939DB8E8DF29E7160563658103BB70E5085CEBB01BE12C96F6584D4E7414E1786BD0D617099C019FD5M2S7N" TargetMode = "External"/>
	<Relationship Id="rId36" Type="http://schemas.openxmlformats.org/officeDocument/2006/relationships/hyperlink" Target="consultantplus://offline/ref=E60A939DB8E8DF29E7160563658103BB79EF0651B6BA13B82094F157124B6105B97760C7C9171680039DMDS5N" TargetMode = "External"/>
	<Relationship Id="rId37" Type="http://schemas.openxmlformats.org/officeDocument/2006/relationships/hyperlink" Target="consultantplus://offline/ref=E60A939DB8E8DF29E7160563658103BB73E60D58EBB01BE12C96F6584D4E7414E1786BD0D617099C019FD5M2S7N" TargetMode = "External"/>
	<Relationship Id="rId38" Type="http://schemas.openxmlformats.org/officeDocument/2006/relationships/hyperlink" Target="consultantplus://offline/ref=E60A939DB8E8DF29E7160563658103BB72E40A5AEBB01BE12C96F6584D4E7414E1786BD0D617099C019FD5M2S7N" TargetMode = "External"/>
	<Relationship Id="rId39" Type="http://schemas.openxmlformats.org/officeDocument/2006/relationships/hyperlink" Target="consultantplus://offline/ref=E60A939DB8E8DF29E7160563658103BB72E40A5BEBB01BE12C96F6584D4E7414E1786BD0D617099C019FD5M2S7N" TargetMode = "External"/>
	<Relationship Id="rId40" Type="http://schemas.openxmlformats.org/officeDocument/2006/relationships/hyperlink" Target="consultantplus://offline/ref=E60A939DB8E8DF29E7160563658103BB77E40759EBB01BE12C96F6584D4E7414E1786BD0D617099C019FD5M2S7N" TargetMode = "External"/>
	<Relationship Id="rId41" Type="http://schemas.openxmlformats.org/officeDocument/2006/relationships/hyperlink" Target="consultantplus://offline/ref=E60A939DB8E8DF29E7160563658103BB70EE0951B6BA13B82094F157124B6105B97760C7C9171680039DMDS5N" TargetMode = "External"/>
	<Relationship Id="rId42" Type="http://schemas.openxmlformats.org/officeDocument/2006/relationships/hyperlink" Target="consultantplus://offline/ref=E60A939DB8E8DF29E7160563658103BB75E2075FEBB01BE12C96F6584D4E7414E1786BD0D617099C019FD5M2S7N" TargetMode = "External"/>
	<Relationship Id="rId43" Type="http://schemas.openxmlformats.org/officeDocument/2006/relationships/hyperlink" Target="consultantplus://offline/ref=E60A939DB8E8DF29E7160563658103BB75E20659EBB01BE12C96F6584D4E7414E1786BD0D617099C019FD5M2S7N" TargetMode = "External"/>
	<Relationship Id="rId44" Type="http://schemas.openxmlformats.org/officeDocument/2006/relationships/hyperlink" Target="consultantplus://offline/ref=E60A939DB8E8DF29E7160563658103BB75E10B5BEBB01BE12C96F6584D4E7414E1786BD0D617099C019FD5M2S7N" TargetMode = "External"/>
	<Relationship Id="rId45" Type="http://schemas.openxmlformats.org/officeDocument/2006/relationships/hyperlink" Target="consultantplus://offline/ref=E60A939DB8E8DF29E7160563658103BB75E10B5DEBB01BE12C96F6584D4E7414E1786BD0D617099C019FD5M2S7N" TargetMode = "External"/>
	<Relationship Id="rId46" Type="http://schemas.openxmlformats.org/officeDocument/2006/relationships/hyperlink" Target="consultantplus://offline/ref=E60A939DB8E8DF29E7160563658103BB77E3065FEBB01BE12C96F6584D4E7414E1786BD0D617099C019FD5M2S7N" TargetMode = "External"/>
	<Relationship Id="rId47" Type="http://schemas.openxmlformats.org/officeDocument/2006/relationships/hyperlink" Target="consultantplus://offline/ref=E60A939DB8E8DF29E7160563658103BB77E3065CEBB01BE12C96F6584D4E7414E1786BD0D617099C019FD5M2S7N" TargetMode = "External"/>
	<Relationship Id="rId48" Type="http://schemas.openxmlformats.org/officeDocument/2006/relationships/hyperlink" Target="consultantplus://offline/ref=E60A939DB8E8DF29E7160563658103BB76E20A59EBB01BE12C96F6584D4E7414E1786BD0D617099C019FD5M2S7N" TargetMode = "External"/>
	<Relationship Id="rId49" Type="http://schemas.openxmlformats.org/officeDocument/2006/relationships/hyperlink" Target="consultantplus://offline/ref=E60A939DB8E8DF29E7160563658103BB70E00A58E3ED11E9759AF45F42117101F02064DBC10809831D9DD727M7SAN" TargetMode = "External"/>
	<Relationship Id="rId50" Type="http://schemas.openxmlformats.org/officeDocument/2006/relationships/hyperlink" Target="consultantplus://offline/ref=E60A939DB8E8DF29E7160563658103BB70E1075AE5ED11E9759AF45F42117101F02064DBC10809831D9DD727M7SAN" TargetMode = "External"/>
	<Relationship Id="rId51" Type="http://schemas.openxmlformats.org/officeDocument/2006/relationships/hyperlink" Target="consultantplus://offline/ref=E60A939DB8E8DF29E7160563658103BB72E60A58E5ED11E9759AF45F42117101F02064DBC10809831D9DD727M7SAN" TargetMode = "External"/>
	<Relationship Id="rId52" Type="http://schemas.openxmlformats.org/officeDocument/2006/relationships/hyperlink" Target="consultantplus://offline/ref=E60A939DB8E8DF29E7160563658103BB73E20D5CE2ED11E9759AF45F42117101F02064DBC10809831D9DD727M7SAN" TargetMode = "External"/>
	<Relationship Id="rId53" Type="http://schemas.openxmlformats.org/officeDocument/2006/relationships/hyperlink" Target="consultantplus://offline/ref=E60A939DB8E8DF29E7160563658103BB70EF0B58E8ED11E9759AF45F42117101F02064DBC10809831D9DD727M7SAN" TargetMode = "External"/>
	<Relationship Id="rId54" Type="http://schemas.openxmlformats.org/officeDocument/2006/relationships/hyperlink" Target="consultantplus://offline/ref=E60A939DB8E8DF29E7160563658103BB73E60F59E9ED11E9759AF45F42117101F02064DBC10809831D9DD727M7SAN" TargetMode = "External"/>
	<Relationship Id="rId55" Type="http://schemas.openxmlformats.org/officeDocument/2006/relationships/hyperlink" Target="consultantplus://offline/ref=E60A939DB8E8DF29E7160563658103BB73E60C5BE4ED11E9759AF45F42117101F02064DBC10809831D9DD727M7SAN" TargetMode = "External"/>
	<Relationship Id="rId56" Type="http://schemas.openxmlformats.org/officeDocument/2006/relationships/hyperlink" Target="consultantplus://offline/ref=E60A939DB8E8DF29E7160563658103BB70EF075CE3ED11E9759AF45F42117101F02064DBC10809831D9DD727M7SAN" TargetMode = "External"/>
	<Relationship Id="rId57" Type="http://schemas.openxmlformats.org/officeDocument/2006/relationships/hyperlink" Target="consultantplus://offline/ref=E60A939DB8E8DF29E7160563658103BB72E40D58EBB01BE12C96F6584D4E7414E1786BD0D617099C019FD5M2S7N" TargetMode = "External"/>
	<Relationship Id="rId58" Type="http://schemas.openxmlformats.org/officeDocument/2006/relationships/hyperlink" Target="consultantplus://offline/ref=E60A939DB8E8DF29E7160563658103BB70E00F5CE7ED11E9759AF45F42117101F02064DBC10809831D9DD727M7SAN" TargetMode = "External"/>
	<Relationship Id="rId59" Type="http://schemas.openxmlformats.org/officeDocument/2006/relationships/hyperlink" Target="consultantplus://offline/ref=E60A939DB8E8DF29E7160563658103BB70EF0A52E3ED11E9759AF45F42117101F02064DBC10809831D9DD727M7SAN" TargetMode = "External"/>
	<Relationship Id="rId60" Type="http://schemas.openxmlformats.org/officeDocument/2006/relationships/hyperlink" Target="consultantplus://offline/ref=E60A939DB8E8DF29E7160563658103BB75E30E58EBB01BE12C96F6584D4E7414E1786BD0D617099C019FD5M2S7N" TargetMode = "External"/>
	<Relationship Id="rId61" Type="http://schemas.openxmlformats.org/officeDocument/2006/relationships/hyperlink" Target="consultantplus://offline/ref=E60A939DB8E8DF29E7161963798103BB75E60A5BEBB01BE12C96F6584D4E7414E1786BD0D617099C019FD5M2S7N" TargetMode = "External"/>
	<Relationship Id="rId62" Type="http://schemas.openxmlformats.org/officeDocument/2006/relationships/hyperlink" Target="consultantplus://offline/ref=E60A939DB8E8DF29E7161963798103BB75E4085BEBB01BE12C96F6584D4E7414E1786BD0D617099C019FD5M2S7N" TargetMode = "External"/>
	<Relationship Id="rId63" Type="http://schemas.openxmlformats.org/officeDocument/2006/relationships/hyperlink" Target="consultantplus://offline/ref=E60A939DB8E8DF29E7161963798103BB75E60D5AEBB01BE12C96F6584D4E7414E1786BD0D617099C019FD5M2S7N" TargetMode = "External"/>
	<Relationship Id="rId64" Type="http://schemas.openxmlformats.org/officeDocument/2006/relationships/hyperlink" Target="consultantplus://offline/ref=E60A939DB8E8DF29E7161963798103BB72E00B51B6BA13B82094F157124B6105B97760C7C9171680039DMDS5N" TargetMode = "External"/>
	<Relationship Id="rId65" Type="http://schemas.openxmlformats.org/officeDocument/2006/relationships/hyperlink" Target="consultantplus://offline/ref=E60A939DB8E8DF29E7161963798103BB74E1085DEBB01BE12C96F6584D4E7414E1786BD0D617099C019FD5M2S7N" TargetMode = "External"/>
	<Relationship Id="rId66" Type="http://schemas.openxmlformats.org/officeDocument/2006/relationships/hyperlink" Target="consultantplus://offline/ref=E60A939DB8E8DF29E7160563658103BB70E7065AE4ED11E9759AF45F42117101F02064DBC10809831D9DD727M7SAN" TargetMode = "External"/>
	<Relationship Id="rId67" Type="http://schemas.openxmlformats.org/officeDocument/2006/relationships/hyperlink" Target="consultantplus://offline/ref=E60A939DB8E8DF29E7160563658103BB70E7065AE4ED11E9759AF45F42117101F02064DBC10809831D9DD727M7SAN" TargetMode = "External"/>
	<Relationship Id="rId68" Type="http://schemas.openxmlformats.org/officeDocument/2006/relationships/hyperlink" Target="consultantplus://offline/ref=E60A939DB8E8DF29E7160563658103BB70EF0A52E3ED11E9759AF45F42117101F02064DBC10809831D9DD727M7SAN" TargetMode = "External"/>
	<Relationship Id="rId69" Type="http://schemas.openxmlformats.org/officeDocument/2006/relationships/hyperlink" Target="consultantplus://offline/ref=E60A939DB8E8DF29E7160563658103BB73E20B5BE6ED11E9759AF45F42117101F02064DBC10809831D9DD727M7SAN" TargetMode = "External"/>
	<Relationship Id="rId70" Type="http://schemas.openxmlformats.org/officeDocument/2006/relationships/hyperlink" Target="consultantplus://offline/ref=E60A939DB8E8DF29E7160563658103BB72E40D5EE4ED11E9759AF45F42117101F02064DBC10809831D9DD727M7SAN" TargetMode = "External"/>
	<Relationship Id="rId71" Type="http://schemas.openxmlformats.org/officeDocument/2006/relationships/hyperlink" Target="consultantplus://offline/ref=E60A939DB8E8DF29E7160563658103BB79E30B5CEBB01BE12C96F6584D4E7414E1786BD0D617099C019FD5M2S7N" TargetMode = "External"/>
	<Relationship Id="rId72" Type="http://schemas.openxmlformats.org/officeDocument/2006/relationships/hyperlink" Target="consultantplus://offline/ref=E60A939DB8E8DF29E7160563658103BB70E60E58EBB01BE12C96F6584D4E7414E1786BD0D617099C019FD5M2S7N" TargetMode = "External"/>
	<Relationship Id="rId73" Type="http://schemas.openxmlformats.org/officeDocument/2006/relationships/hyperlink" Target="consultantplus://offline/ref=E60A939DB8E8DF29E7160563658103BB73E50E5CE5ED11E9759AF45F42117101F02064DBC10809831D9DD727M7SAN" TargetMode = "External"/>
	<Relationship Id="rId74" Type="http://schemas.openxmlformats.org/officeDocument/2006/relationships/hyperlink" Target="consultantplus://offline/ref=E60A939DB8E8DF29E7160563658103BB78E50C51B6BA13B82094F157124B6105B97760C7C9171680039DMDS5N" TargetMode = "External"/>
	<Relationship Id="rId75" Type="http://schemas.openxmlformats.org/officeDocument/2006/relationships/hyperlink" Target="consultantplus://offline/ref=E60A939DB8E8DF29E7160563658103BB70EF0B58E8ED11E9759AF45F42117101F02064DBC10809831D9DD727M7SAN" TargetMode = "External"/>
	<Relationship Id="rId76" Type="http://schemas.openxmlformats.org/officeDocument/2006/relationships/hyperlink" Target="consultantplus://offline/ref=E60A939DB8E8DF29E7160563658103BB75E60C5FEBB01BE12C96F6584D4E7414E1786BD0D617099C019FD5M2S7N" TargetMode = "External"/>
	<Relationship Id="rId77" Type="http://schemas.openxmlformats.org/officeDocument/2006/relationships/image" Target="media/image2.wmf"/>
	<Relationship Id="rId78" Type="http://schemas.openxmlformats.org/officeDocument/2006/relationships/hyperlink" Target="consultantplus://offline/ref=E60A939DB8E8DF29E7160563658103BB70E50B5EEBB01BE12C96F6584D4E7414E1786BD0D617099C019FD5M2S7N" TargetMode = "External"/>
	<Relationship Id="rId79" Type="http://schemas.openxmlformats.org/officeDocument/2006/relationships/hyperlink" Target="consultantplus://offline/ref=E60A939DB8E8DF29E7160563658103BB74E20851B6BA13B82094F157124B6105B97760C7C9171680039DMDS5N" TargetMode = "External"/>
	<Relationship Id="rId80" Type="http://schemas.openxmlformats.org/officeDocument/2006/relationships/hyperlink" Target="consultantplus://offline/ref=E60A939DB8E8DF29E7160563658103BB75E2075FEBB01BE12C96F6584D4E7414E1786BD0D617099C019FD5M2S7N" TargetMode = "External"/>
	<Relationship Id="rId81" Type="http://schemas.openxmlformats.org/officeDocument/2006/relationships/hyperlink" Target="consultantplus://offline/ref=E60A939DB8E8DF29E7160563658103BB73E60C5BE4ED11E9759AF45F42117101F02064DBC10809831D9DD727M7SAN" TargetMode = "External"/>
	<Relationship Id="rId82" Type="http://schemas.openxmlformats.org/officeDocument/2006/relationships/hyperlink" Target="consultantplus://offline/ref=E60A939DB8E8DF29E7160563658103BB70E1075CE1ED11E9759AF45F42117101F02064DBC10809831D9DD727M7SAN" TargetMode = "External"/>
	<Relationship Id="rId83" Type="http://schemas.openxmlformats.org/officeDocument/2006/relationships/hyperlink" Target="consultantplus://offline/ref=E60A939DB8E8DF29E7160563658103BB77E40759EBB01BE12C96F6584D4E7414E1786BD0D617099C019FD5M2S7N" TargetMode = "External"/>
	<Relationship Id="rId84" Type="http://schemas.openxmlformats.org/officeDocument/2006/relationships/hyperlink" Target="consultantplus://offline/ref=E60A939DB8E8DF29E7160563658103BB73E60F59E9ED11E9759AF45F42117101F02064DBC10809831D9DD727M7SAN" TargetMode = "External"/>
	<Relationship Id="rId85" Type="http://schemas.openxmlformats.org/officeDocument/2006/relationships/hyperlink" Target="consultantplus://offline/ref=E60A939DB8E8DF29E7160563658103BB70E40A52E5ED11E9759AF45F42117101F02064DBC10809831D9DD727M7SAN" TargetMode = "External"/>
	<Relationship Id="rId86" Type="http://schemas.openxmlformats.org/officeDocument/2006/relationships/hyperlink" Target="consultantplus://offline/ref=E60A939DB8E8DF29E7160563658103BB72E40A5AEBB01BE12C96F6584D4E7414E1786BD0D617099C019FD5M2S7N" TargetMode = "External"/>
	<Relationship Id="rId87" Type="http://schemas.openxmlformats.org/officeDocument/2006/relationships/hyperlink" Target="consultantplus://offline/ref=E60A939DB8E8DF29E7160563658103BB75E10B5BEBB01BE12C96F6584D4E7414E1786BD0D617099C019FD5M2S7N" TargetMode = "External"/>
	<Relationship Id="rId88" Type="http://schemas.openxmlformats.org/officeDocument/2006/relationships/hyperlink" Target="consultantplus://offline/ref=E60A939DB8E8DF29E7160563658103BB70E5085CEBB01BE12C96F6584D4E7414E1786BD0D617099C019FD5M2S7N" TargetMode = "External"/>
	<Relationship Id="rId89" Type="http://schemas.openxmlformats.org/officeDocument/2006/relationships/hyperlink" Target="consultantplus://offline/ref=E60A939DB8E8DF29E7160563658103BB70E10758E7ED11E9759AF45F42117101F02064DBC10809831D9DD727M7SAN" TargetMode = "External"/>
	<Relationship Id="rId90" Type="http://schemas.openxmlformats.org/officeDocument/2006/relationships/hyperlink" Target="consultantplus://offline/ref=E60A939DB8E8DF29E7160563658103BB74E20F51B6BA13B82094F157124B6105B97760C7C9171680039DMDS5N" TargetMode = "External"/>
	<Relationship Id="rId91" Type="http://schemas.openxmlformats.org/officeDocument/2006/relationships/hyperlink" Target="consultantplus://offline/ref=E60A939DB8E8DF29E7160563658103BB70E5085CEBB01BE12C96F6584D4E7414E1786BD0D617099C019FD5M2S7N" TargetMode = "External"/>
	<Relationship Id="rId92" Type="http://schemas.openxmlformats.org/officeDocument/2006/relationships/hyperlink" Target="consultantplus://offline/ref=E60A939DB8E8DF29E7160563658103BB70EF075CE3ED11E9759AF45F42117101F02064DBC10809831D9DD727M7SAN" TargetMode = "External"/>
	<Relationship Id="rId93" Type="http://schemas.openxmlformats.org/officeDocument/2006/relationships/hyperlink" Target="consultantplus://offline/ref=E60A939DB8E8DF29E7160563658103BB70E1065FE1ED11E9759AF45F42117101F02064DBC10809831D9DD727M7SAN" TargetMode = "External"/>
	<Relationship Id="rId94" Type="http://schemas.openxmlformats.org/officeDocument/2006/relationships/hyperlink" Target="consultantplus://offline/ref=E60A939DB8E8DF29E7160563658103BB74E20F51B6BA13B82094F157124B6105B97760C7C9171680039DMDS5N" TargetMode = "External"/>
	<Relationship Id="rId95" Type="http://schemas.openxmlformats.org/officeDocument/2006/relationships/hyperlink" Target="consultantplus://offline/ref=E60A939DB8E8DF29E7160563658103BB70E5085CEBB01BE12C96F6584D4E7414E1786BD0D617099C019FD5M2S7N" TargetMode = "External"/>
	<Relationship Id="rId96" Type="http://schemas.openxmlformats.org/officeDocument/2006/relationships/hyperlink" Target="consultantplus://offline/ref=E60A939DB8E8DF29E7160563658103BB70EF075CE3ED11E9759AF45F42117101F02064DBC10809831D9DD727M7SAN" TargetMode = "External"/>
	<Relationship Id="rId97" Type="http://schemas.openxmlformats.org/officeDocument/2006/relationships/hyperlink" Target="consultantplus://offline/ref=E60A939DB8E8DF29E7160563658103BB73E2075CE6ED11E9759AF45F42117101F02064DBC10809831D9DD727M7SAN" TargetMode = "External"/>
	<Relationship Id="rId98" Type="http://schemas.openxmlformats.org/officeDocument/2006/relationships/hyperlink" Target="consultantplus://offline/ref=E60A939DB8E8DF29E7160563658103BB73E60D58EBB01BE12C96F6584D4E7414E1786BD0D617099C019FD5M2S7N" TargetMode = "External"/>
	<Relationship Id="rId99" Type="http://schemas.openxmlformats.org/officeDocument/2006/relationships/hyperlink" Target="consultantplus://offline/ref=E60A939DB8E8DF29E7160563658103BB70E1075AE5ED11E9759AF45F42117101F02064DBC10809831D9DD727M7SAN" TargetMode = "External"/>
	<Relationship Id="rId100" Type="http://schemas.openxmlformats.org/officeDocument/2006/relationships/hyperlink" Target="consultantplus://offline/ref=E60A939DB8E8DF29E7160563658103BB70EE0951B6BA13B82094F157124B6105B97760C7C9171680039DMDS5N" TargetMode = "External"/>
	<Relationship Id="rId101" Type="http://schemas.openxmlformats.org/officeDocument/2006/relationships/hyperlink" Target="consultantplus://offline/ref=E60A939DB8E8DF29E7160563658103BB72E60A58E5ED11E9759AF45F42117101F02064DBC10809831D9DD727M7SAN" TargetMode = "External"/>
	<Relationship Id="rId102" Type="http://schemas.openxmlformats.org/officeDocument/2006/relationships/hyperlink" Target="consultantplus://offline/ref=E60A939DB8E8DF29E7160563658103BB73E20D5CE2ED11E9759AF45F42117101F02064DBC10809831D9DD727M7SAN" TargetMode = "External"/>
	<Relationship Id="rId103" Type="http://schemas.openxmlformats.org/officeDocument/2006/relationships/hyperlink" Target="consultantplus://offline/ref=E60A939DB8E8DF29E7160563658103BB79EF0651B6BA13B82094F157124B6105B97760C7C9171680039DMDS5N" TargetMode = "External"/>
	<Relationship Id="rId104" Type="http://schemas.openxmlformats.org/officeDocument/2006/relationships/hyperlink" Target="consultantplus://offline/ref=E60A939DB8E8DF29E7160563658103BB75E10B5DEBB01BE12C96F6584D4E7414E1786BD0D617099C019FD5M2S7N" TargetMode = "External"/>
	<Relationship Id="rId105" Type="http://schemas.openxmlformats.org/officeDocument/2006/relationships/hyperlink" Target="consultantplus://offline/ref=E60A939DB8E8DF29E7160563658103BB77E5075EEBB01BE12C96F6584D4E7414E1786BD0D617099C019FD5M2S7N" TargetMode = "External"/>
	<Relationship Id="rId106" Type="http://schemas.openxmlformats.org/officeDocument/2006/relationships/hyperlink" Target="consultantplus://offline/ref=E60A939DB8E8DF29E7160563658103BB75E20659EBB01BE12C96F6584D4E7414E1786BD0D617099C019FD5M2S7N" TargetMode = "External"/>
	<Relationship Id="rId107" Type="http://schemas.openxmlformats.org/officeDocument/2006/relationships/hyperlink" Target="consultantplus://offline/ref=E60A939DB8E8DF29E7160563658103BB70E00A58E3ED11E9759AF45F42117101F02064DBC10809831D9DD727M7SAN" TargetMode = "External"/>
	<Relationship Id="rId108" Type="http://schemas.openxmlformats.org/officeDocument/2006/relationships/hyperlink" Target="consultantplus://offline/ref=E60A939DB8E8DF29E7160563658103BB77E5075EEBB01BE12C96F6584D4E7414E1786BD0D617099C019FD5M2S7N" TargetMode = "External"/>
	<Relationship Id="rId109" Type="http://schemas.openxmlformats.org/officeDocument/2006/relationships/hyperlink" Target="consultantplus://offline/ref=E60A939DB8E8DF29E7160563658103BB76E20A59EBB01BE12C96F6584D4E7414E1786BD0D617099C019FD5M2S7N" TargetMode = "External"/>
	<Relationship Id="rId110" Type="http://schemas.openxmlformats.org/officeDocument/2006/relationships/hyperlink" Target="consultantplus://offline/ref=E60A939DB8E8DF29E7160563658103BB77E3065FEBB01BE12C96F6584D4E7414E1786BD0D617099C019FD5M2S7N" TargetMode = "External"/>
	<Relationship Id="rId111" Type="http://schemas.openxmlformats.org/officeDocument/2006/relationships/hyperlink" Target="consultantplus://offline/ref=E60A939DB8E8DF29E7160563658103BB77E3065CEBB01BE12C96F6584D4E7414E1786BD0D617099C019FD5M2S7N" TargetMode = "External"/>
	<Relationship Id="rId112" Type="http://schemas.openxmlformats.org/officeDocument/2006/relationships/hyperlink" Target="consultantplus://offline/ref=E60A939DB8E8DF29E71606767C8103BB73EF075AE5E54CE37DC3F85D451E2E04F73164D8C8160880049483743CC7E7C02F1B344B73945BF0M3SCN" TargetMode = "External"/>
	<Relationship Id="rId113" Type="http://schemas.openxmlformats.org/officeDocument/2006/relationships/hyperlink" Target="consultantplus://offline/ref=E60A939DB8E8DF29E71606767C8103BB72E30E59E2EF4CE37DC3F85D451E2E04F73164D8C814098B0B9483743CC7E7C02F1B344B73945BF0M3S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19092-2021. Межгосударственный стандарт. Гречиха. Технические условия"
(введен в действие Приказом Росстандарта от 23.11.2021 N 1548-ст)</dc:title>
  <dcterms:created xsi:type="dcterms:W3CDTF">2022-11-29T13:18:11Z</dcterms:created>
</cp:coreProperties>
</file>