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5060-2021. Межгосударственный стандарт. Ячмень пивоваренный. Технические условия"</w:t>
              <w:br/>
              <w:t xml:space="preserve">(введен в действие Приказом Росстандарта от 06.12.2021 N 1714-ст)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06.12.2021 N 1714-ст (ред. от 27.12.2021)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техническому</w:t>
      </w:r>
    </w:p>
    <w:p>
      <w:pPr>
        <w:pStyle w:val="0"/>
        <w:jc w:val="right"/>
      </w:pPr>
      <w:r>
        <w:rPr>
          <w:sz w:val="20"/>
        </w:rPr>
        <w:t xml:space="preserve">регулированию и метрологии</w:t>
      </w:r>
    </w:p>
    <w:p>
      <w:pPr>
        <w:pStyle w:val="0"/>
        <w:jc w:val="right"/>
      </w:pPr>
      <w:r>
        <w:rPr>
          <w:sz w:val="20"/>
        </w:rPr>
        <w:t xml:space="preserve">от 6 декабря 2021 г. N 1714-ст</w:t>
      </w:r>
    </w:p>
    <w:p>
      <w:pPr>
        <w:pStyle w:val="0"/>
        <w:ind w:firstLine="540"/>
        <w:jc w:val="both"/>
      </w:pPr>
      <w:r>
        <w:rPr>
          <w:sz w:val="20"/>
        </w:rPr>
      </w:r>
    </w:p>
    <w:p>
      <w:pPr>
        <w:pStyle w:val="2"/>
        <w:jc w:val="center"/>
      </w:pPr>
      <w:r>
        <w:rPr>
          <w:sz w:val="20"/>
        </w:rPr>
        <w:t xml:space="preserve">МЕЖГОСУДАРСТВЕННЫЙ СТАНДАРТ</w:t>
      </w:r>
    </w:p>
    <w:p>
      <w:pPr>
        <w:pStyle w:val="2"/>
        <w:jc w:val="center"/>
      </w:pPr>
      <w:r>
        <w:rPr>
          <w:sz w:val="20"/>
        </w:rPr>
      </w:r>
    </w:p>
    <w:p>
      <w:pPr>
        <w:pStyle w:val="2"/>
        <w:jc w:val="center"/>
      </w:pPr>
      <w:r>
        <w:rPr>
          <w:sz w:val="20"/>
        </w:rPr>
        <w:t xml:space="preserve">ЯЧМЕНЬ ПИВОВАРЕННЫЙ</w:t>
      </w:r>
    </w:p>
    <w:p>
      <w:pPr>
        <w:pStyle w:val="2"/>
        <w:jc w:val="center"/>
      </w:pPr>
      <w:r>
        <w:rPr>
          <w:sz w:val="20"/>
        </w:rPr>
      </w:r>
    </w:p>
    <w:p>
      <w:pPr>
        <w:pStyle w:val="2"/>
        <w:jc w:val="center"/>
      </w:pPr>
      <w:r>
        <w:rPr>
          <w:sz w:val="20"/>
        </w:rPr>
        <w:t xml:space="preserve">ТЕХНИЧЕСКИЕ УСЛОВИЯ</w:t>
      </w:r>
    </w:p>
    <w:p>
      <w:pPr>
        <w:pStyle w:val="2"/>
        <w:jc w:val="center"/>
      </w:pPr>
      <w:r>
        <w:rPr>
          <w:sz w:val="20"/>
        </w:rPr>
      </w:r>
    </w:p>
    <w:p>
      <w:pPr>
        <w:pStyle w:val="2"/>
        <w:jc w:val="center"/>
      </w:pPr>
      <w:r>
        <w:rPr>
          <w:sz w:val="20"/>
        </w:rPr>
        <w:t xml:space="preserve">Barley for brewing. Specifications</w:t>
      </w:r>
    </w:p>
    <w:p>
      <w:pPr>
        <w:pStyle w:val="2"/>
        <w:jc w:val="center"/>
      </w:pPr>
      <w:r>
        <w:rPr>
          <w:sz w:val="20"/>
        </w:rPr>
      </w:r>
    </w:p>
    <w:p>
      <w:pPr>
        <w:pStyle w:val="2"/>
        <w:jc w:val="center"/>
      </w:pPr>
      <w:r>
        <w:rPr>
          <w:sz w:val="20"/>
        </w:rPr>
        <w:t xml:space="preserve">ГОСТ 5060-2021</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9" w:tooltip="Приказ Росстандарта от 27.12.2021 N 1860-ст &quot;О внесении изменений в приказ Федерального агентства по техническому регулированию и метрологии от 6 декабря 2021 г. N 1714-ст &quot;О введении в действие межгосударственного стандарта&quot; {КонсультантПлюс}">
              <w:r>
                <w:rPr>
                  <w:sz w:val="20"/>
                  <w:color w:val="0000ff"/>
                </w:rPr>
                <w:t xml:space="preserve">Приказом</w:t>
              </w:r>
            </w:hyperlink>
            <w:r>
              <w:rPr>
                <w:sz w:val="20"/>
                <w:color w:val="392c69"/>
              </w:rPr>
              <w:t xml:space="preserve"> Росстандарта от 27.12.2021 N 1860-ст дата введения в действие перенесена на 01.04.2022.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right"/>
      </w:pPr>
      <w:r>
        <w:rPr>
          <w:sz w:val="20"/>
          <w:b w:val="on"/>
        </w:rPr>
        <w:t xml:space="preserve">Дата введения</w:t>
      </w:r>
    </w:p>
    <w:p>
      <w:pPr>
        <w:pStyle w:val="0"/>
        <w:jc w:val="right"/>
      </w:pPr>
      <w:r>
        <w:rPr>
          <w:sz w:val="20"/>
          <w:b w:val="on"/>
        </w:rPr>
        <w:t xml:space="preserve">1 января 2022 года</w:t>
      </w:r>
    </w:p>
    <w:p>
      <w:pPr>
        <w:pStyle w:val="0"/>
        <w:ind w:firstLine="540"/>
        <w:jc w:val="both"/>
      </w:pPr>
      <w:r>
        <w:rPr>
          <w:sz w:val="20"/>
        </w:rPr>
      </w:r>
    </w:p>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10"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1"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14 июля 2021 г. N 59)</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7"/>
        <w:gridCol w:w="1814"/>
        <w:gridCol w:w="4648"/>
      </w:tblGrid>
      <w:tr>
        <w:tblPrEx>
          <w:tblBorders>
            <w:insideH w:val="single" w:sz="4"/>
          </w:tblBorders>
        </w:tblPrEx>
        <w:tc>
          <w:tcPr>
            <w:tcW w:w="2607"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814" w:type="dxa"/>
            <w:vAlign w:val="center"/>
            <w:tcBorders>
              <w:top w:val="single" w:sz="4"/>
              <w:bottom w:val="single" w:sz="4"/>
            </w:tcBorders>
          </w:tcPr>
          <w:p>
            <w:pPr>
              <w:pStyle w:val="0"/>
              <w:jc w:val="center"/>
            </w:pPr>
            <w:r>
              <w:rPr>
                <w:sz w:val="20"/>
              </w:rPr>
              <w:t xml:space="preserve">Код страны по МК (ИСО 3166) 004-97</w:t>
            </w:r>
          </w:p>
        </w:tc>
        <w:tc>
          <w:tcPr>
            <w:tcW w:w="4648"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7" w:type="dxa"/>
            <w:tcBorders>
              <w:top w:val="single" w:sz="4"/>
              <w:bottom w:val="nil"/>
            </w:tcBorders>
          </w:tcPr>
          <w:p>
            <w:pPr>
              <w:pStyle w:val="0"/>
            </w:pPr>
            <w:r>
              <w:rPr>
                <w:sz w:val="20"/>
              </w:rPr>
              <w:t xml:space="preserve">Армения</w:t>
            </w:r>
          </w:p>
        </w:tc>
        <w:tc>
          <w:tcPr>
            <w:tcW w:w="1814" w:type="dxa"/>
            <w:tcBorders>
              <w:top w:val="single" w:sz="4"/>
              <w:bottom w:val="nil"/>
            </w:tcBorders>
          </w:tcPr>
          <w:p>
            <w:pPr>
              <w:pStyle w:val="0"/>
              <w:jc w:val="center"/>
            </w:pPr>
            <w:r>
              <w:rPr>
                <w:sz w:val="20"/>
              </w:rPr>
              <w:t xml:space="preserve">AM</w:t>
            </w:r>
          </w:p>
        </w:tc>
        <w:tc>
          <w:tcPr>
            <w:tcW w:w="4648" w:type="dxa"/>
            <w:tcBorders>
              <w:top w:val="single" w:sz="4"/>
              <w:bottom w:val="nil"/>
            </w:tcBorders>
          </w:tcPr>
          <w:p>
            <w:pPr>
              <w:pStyle w:val="0"/>
            </w:pPr>
            <w:r>
              <w:rPr>
                <w:sz w:val="20"/>
              </w:rPr>
              <w:t xml:space="preserve">ЗАО "Национальный орган по стандартизации и метрологии" Республики Армения</w:t>
            </w:r>
          </w:p>
        </w:tc>
      </w:tr>
      <w:tr>
        <w:tc>
          <w:tcPr>
            <w:tcW w:w="2607" w:type="dxa"/>
            <w:vAlign w:val="center"/>
            <w:tcBorders>
              <w:top w:val="nil"/>
              <w:bottom w:val="nil"/>
            </w:tcBorders>
          </w:tcPr>
          <w:p>
            <w:pPr>
              <w:pStyle w:val="0"/>
            </w:pPr>
            <w:r>
              <w:rPr>
                <w:sz w:val="20"/>
              </w:rPr>
              <w:t xml:space="preserve">Беларусь</w:t>
            </w:r>
          </w:p>
        </w:tc>
        <w:tc>
          <w:tcPr>
            <w:tcW w:w="1814" w:type="dxa"/>
            <w:vAlign w:val="center"/>
            <w:tcBorders>
              <w:top w:val="nil"/>
              <w:bottom w:val="nil"/>
            </w:tcBorders>
          </w:tcPr>
          <w:p>
            <w:pPr>
              <w:pStyle w:val="0"/>
              <w:jc w:val="center"/>
            </w:pPr>
            <w:r>
              <w:rPr>
                <w:sz w:val="20"/>
              </w:rPr>
              <w:t xml:space="preserve">BY</w:t>
            </w:r>
          </w:p>
        </w:tc>
        <w:tc>
          <w:tcPr>
            <w:tcW w:w="4648" w:type="dxa"/>
            <w:vAlign w:val="center"/>
            <w:tcBorders>
              <w:top w:val="nil"/>
              <w:bottom w:val="nil"/>
            </w:tcBorders>
          </w:tcPr>
          <w:p>
            <w:pPr>
              <w:pStyle w:val="0"/>
            </w:pPr>
            <w:r>
              <w:rPr>
                <w:sz w:val="20"/>
              </w:rPr>
              <w:t xml:space="preserve">Госстандарт Республики Беларусь</w:t>
            </w:r>
          </w:p>
        </w:tc>
      </w:tr>
      <w:tr>
        <w:tc>
          <w:tcPr>
            <w:tcW w:w="2607" w:type="dxa"/>
            <w:vAlign w:val="center"/>
            <w:tcBorders>
              <w:top w:val="nil"/>
              <w:bottom w:val="nil"/>
            </w:tcBorders>
          </w:tcPr>
          <w:p>
            <w:pPr>
              <w:pStyle w:val="0"/>
            </w:pPr>
            <w:r>
              <w:rPr>
                <w:sz w:val="20"/>
              </w:rPr>
              <w:t xml:space="preserve">Киргизия</w:t>
            </w:r>
          </w:p>
        </w:tc>
        <w:tc>
          <w:tcPr>
            <w:tcW w:w="1814" w:type="dxa"/>
            <w:vAlign w:val="center"/>
            <w:tcBorders>
              <w:top w:val="nil"/>
              <w:bottom w:val="nil"/>
            </w:tcBorders>
          </w:tcPr>
          <w:p>
            <w:pPr>
              <w:pStyle w:val="0"/>
              <w:jc w:val="center"/>
            </w:pPr>
            <w:r>
              <w:rPr>
                <w:sz w:val="20"/>
              </w:rPr>
              <w:t xml:space="preserve">KG</w:t>
            </w:r>
          </w:p>
        </w:tc>
        <w:tc>
          <w:tcPr>
            <w:tcW w:w="4648" w:type="dxa"/>
            <w:vAlign w:val="center"/>
            <w:tcBorders>
              <w:top w:val="nil"/>
              <w:bottom w:val="nil"/>
            </w:tcBorders>
          </w:tcPr>
          <w:p>
            <w:pPr>
              <w:pStyle w:val="0"/>
            </w:pPr>
            <w:r>
              <w:rPr>
                <w:sz w:val="20"/>
              </w:rPr>
              <w:t xml:space="preserve">Кыргызстандарт</w:t>
            </w:r>
          </w:p>
        </w:tc>
      </w:tr>
      <w:tr>
        <w:tc>
          <w:tcPr>
            <w:tcW w:w="2607" w:type="dxa"/>
            <w:vAlign w:val="center"/>
            <w:tcBorders>
              <w:top w:val="nil"/>
              <w:bottom w:val="nil"/>
            </w:tcBorders>
          </w:tcPr>
          <w:p>
            <w:pPr>
              <w:pStyle w:val="0"/>
            </w:pPr>
            <w:r>
              <w:rPr>
                <w:sz w:val="20"/>
              </w:rPr>
              <w:t xml:space="preserve">Россия</w:t>
            </w:r>
          </w:p>
        </w:tc>
        <w:tc>
          <w:tcPr>
            <w:tcW w:w="1814" w:type="dxa"/>
            <w:vAlign w:val="center"/>
            <w:tcBorders>
              <w:top w:val="nil"/>
              <w:bottom w:val="nil"/>
            </w:tcBorders>
          </w:tcPr>
          <w:p>
            <w:pPr>
              <w:pStyle w:val="0"/>
              <w:jc w:val="center"/>
            </w:pPr>
            <w:r>
              <w:rPr>
                <w:sz w:val="20"/>
              </w:rPr>
              <w:t xml:space="preserve">RU</w:t>
            </w:r>
          </w:p>
        </w:tc>
        <w:tc>
          <w:tcPr>
            <w:tcW w:w="4648" w:type="dxa"/>
            <w:vAlign w:val="center"/>
            <w:tcBorders>
              <w:top w:val="nil"/>
              <w:bottom w:val="nil"/>
            </w:tcBorders>
          </w:tcPr>
          <w:p>
            <w:pPr>
              <w:pStyle w:val="0"/>
            </w:pPr>
            <w:r>
              <w:rPr>
                <w:sz w:val="20"/>
              </w:rPr>
              <w:t xml:space="preserve">Росстандарт</w:t>
            </w:r>
          </w:p>
        </w:tc>
      </w:tr>
      <w:tr>
        <w:tc>
          <w:tcPr>
            <w:tcW w:w="2607" w:type="dxa"/>
            <w:vAlign w:val="center"/>
            <w:tcBorders>
              <w:top w:val="nil"/>
              <w:bottom w:val="nil"/>
            </w:tcBorders>
          </w:tcPr>
          <w:p>
            <w:pPr>
              <w:pStyle w:val="0"/>
            </w:pPr>
            <w:r>
              <w:rPr>
                <w:sz w:val="20"/>
              </w:rPr>
              <w:t xml:space="preserve">Таджикистан</w:t>
            </w:r>
          </w:p>
        </w:tc>
        <w:tc>
          <w:tcPr>
            <w:tcW w:w="1814" w:type="dxa"/>
            <w:vAlign w:val="center"/>
            <w:tcBorders>
              <w:top w:val="nil"/>
              <w:bottom w:val="nil"/>
            </w:tcBorders>
          </w:tcPr>
          <w:p>
            <w:pPr>
              <w:pStyle w:val="0"/>
              <w:jc w:val="center"/>
            </w:pPr>
            <w:r>
              <w:rPr>
                <w:sz w:val="20"/>
              </w:rPr>
              <w:t xml:space="preserve">TJ</w:t>
            </w:r>
          </w:p>
        </w:tc>
        <w:tc>
          <w:tcPr>
            <w:tcW w:w="4648" w:type="dxa"/>
            <w:vAlign w:val="center"/>
            <w:tcBorders>
              <w:top w:val="nil"/>
              <w:bottom w:val="nil"/>
            </w:tcBorders>
          </w:tcPr>
          <w:p>
            <w:pPr>
              <w:pStyle w:val="0"/>
            </w:pPr>
            <w:r>
              <w:rPr>
                <w:sz w:val="20"/>
              </w:rPr>
              <w:t xml:space="preserve">Таджикстандарт</w:t>
            </w:r>
          </w:p>
        </w:tc>
      </w:tr>
      <w:tr>
        <w:tc>
          <w:tcPr>
            <w:tcW w:w="2607" w:type="dxa"/>
            <w:vAlign w:val="center"/>
            <w:tcBorders>
              <w:top w:val="nil"/>
              <w:bottom w:val="single" w:sz="4"/>
            </w:tcBorders>
          </w:tcPr>
          <w:p>
            <w:pPr>
              <w:pStyle w:val="0"/>
            </w:pPr>
            <w:r>
              <w:rPr>
                <w:sz w:val="20"/>
              </w:rPr>
              <w:t xml:space="preserve">Узбекистан</w:t>
            </w:r>
          </w:p>
        </w:tc>
        <w:tc>
          <w:tcPr>
            <w:tcW w:w="1814" w:type="dxa"/>
            <w:vAlign w:val="center"/>
            <w:tcBorders>
              <w:top w:val="nil"/>
              <w:bottom w:val="single" w:sz="4"/>
            </w:tcBorders>
          </w:tcPr>
          <w:p>
            <w:pPr>
              <w:pStyle w:val="0"/>
              <w:jc w:val="center"/>
            </w:pPr>
            <w:r>
              <w:rPr>
                <w:sz w:val="20"/>
              </w:rPr>
              <w:t xml:space="preserve">UZ</w:t>
            </w:r>
          </w:p>
        </w:tc>
        <w:tc>
          <w:tcPr>
            <w:tcW w:w="4648" w:type="dxa"/>
            <w:vAlign w:val="center"/>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2" w:tooltip="Приказ Росстандарта от 06.12.2021 N 1714-ст (ред. от 27.12.2021)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6 декабря 2021 г. N 1714-ст межгосударственный стандарт ГОСТ 5060-2021 введен в действие в качестве национального стандарта Российской Федерации с 1 января 2022 г.</w:t>
      </w:r>
    </w:p>
    <w:p>
      <w:pPr>
        <w:pStyle w:val="0"/>
        <w:spacing w:before="200" w:line-rule="auto"/>
        <w:ind w:firstLine="540"/>
        <w:jc w:val="both"/>
      </w:pPr>
      <w:r>
        <w:rPr>
          <w:sz w:val="20"/>
        </w:rPr>
        <w:t xml:space="preserve">5 ВЗАМЕН </w:t>
      </w:r>
      <w:hyperlink w:history="0" r:id="rId13" w:tooltip="&quot;ГОСТ 5060-86*. Государственный стандарт Союза ССР. Ячмень пивоваренный. Технические условия&quot; (введен в действие Постановлением Госстандарта СССР от 18.12.1986 N 3980) (ред. от 01.10.1992) ------------ Утратил силу или отменен {КонсультантПлюс}">
        <w:r>
          <w:rPr>
            <w:sz w:val="20"/>
            <w:color w:val="0000ff"/>
          </w:rPr>
          <w:t xml:space="preserve">ГОСТ 5060-86</w:t>
        </w:r>
      </w:hyperlink>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зерно пивоваренного ячменя (далее - ячмень).</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4"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5" w:tooltip="Ссылка на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6"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7"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8"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9" w:tooltip="&quot;ГОСТ 10846-91. Межгосударственный стандарт. Зерно и продукты его переработки. Метод определения белка&quot; (утв. и введен в действие Постановлением Госстандарта СССР от 18.12.1991 N 1995) {КонсультантПлюс}">
        <w:r>
          <w:rPr>
            <w:sz w:val="20"/>
            <w:color w:val="0000ff"/>
          </w:rPr>
          <w:t xml:space="preserve">ГОСТ 10846</w:t>
        </w:r>
      </w:hyperlink>
      <w:r>
        <w:rPr>
          <w:sz w:val="20"/>
        </w:rPr>
        <w:t xml:space="preserve"> Зерно и продукты его переработки. Метод определения белка</w:t>
      </w:r>
    </w:p>
    <w:p>
      <w:pPr>
        <w:pStyle w:val="0"/>
        <w:spacing w:before="200" w:line-rule="auto"/>
        <w:ind w:firstLine="540"/>
        <w:jc w:val="both"/>
      </w:pPr>
      <w:hyperlink w:history="0" r:id="rId20"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 Зерно. Методы определения запаха и цвета</w:t>
      </w:r>
    </w:p>
    <w:p>
      <w:pPr>
        <w:pStyle w:val="0"/>
        <w:spacing w:before="200" w:line-rule="auto"/>
        <w:ind w:firstLine="540"/>
        <w:jc w:val="both"/>
      </w:pPr>
      <w:hyperlink w:history="0" r:id="rId21" w:tooltip="&quot;ГОСТ 10968-88. Государственный стандарт Союза ССР. Зерно. Методы определения энергии прорастания и способности прорастания&quot; (утв. и введен в действие Постановлением Госстандарта СССР от 25.02.1988 N 371) (ред. от 01.02.1995) {КонсультантПлюс}">
        <w:r>
          <w:rPr>
            <w:sz w:val="20"/>
            <w:color w:val="0000ff"/>
          </w:rPr>
          <w:t xml:space="preserve">ГОСТ 10968</w:t>
        </w:r>
      </w:hyperlink>
      <w:r>
        <w:rPr>
          <w:sz w:val="20"/>
        </w:rPr>
        <w:t xml:space="preserve"> Зерно. Методы определения энергии прорастания и способности прорастания</w:t>
      </w:r>
    </w:p>
    <w:p>
      <w:pPr>
        <w:pStyle w:val="0"/>
        <w:spacing w:before="200" w:line-rule="auto"/>
        <w:ind w:firstLine="540"/>
        <w:jc w:val="both"/>
      </w:pPr>
      <w:hyperlink w:history="0" r:id="rId22" w:tooltip="&quot;ГОСТ 12039-82. Межгосударственный стандарт. Семена сельскохозяйственных культур. Методы определения жизнеспособности&quot; (введен Постановлением Госстандарта СССР от 09.06.1982 N 2331) {КонсультантПлюс}">
        <w:r>
          <w:rPr>
            <w:sz w:val="20"/>
            <w:color w:val="0000ff"/>
          </w:rPr>
          <w:t xml:space="preserve">ГОСТ 12039</w:t>
        </w:r>
      </w:hyperlink>
      <w:r>
        <w:rPr>
          <w:sz w:val="20"/>
        </w:rPr>
        <w:t xml:space="preserve"> Семена сельскохозяйственных культур. Методы определения жизнеспособности</w:t>
      </w:r>
    </w:p>
    <w:p>
      <w:pPr>
        <w:pStyle w:val="0"/>
        <w:spacing w:before="200" w:line-rule="auto"/>
        <w:ind w:firstLine="540"/>
        <w:jc w:val="both"/>
      </w:pPr>
      <w:hyperlink w:history="0" r:id="rId23" w:tooltip="&quot;ГОСТ 12136-77*. Государственный стандарт Союза ССР. Зерно. Метод определения экстрактивности ячменя&quot; (введен Постановлением Госстандарта СССР от 24.02.1977 N 494) (ред. от 01.12.1994) {КонсультантПлюс}">
        <w:r>
          <w:rPr>
            <w:sz w:val="20"/>
            <w:color w:val="0000ff"/>
          </w:rPr>
          <w:t xml:space="preserve">ГОСТ 12136</w:t>
        </w:r>
      </w:hyperlink>
      <w:r>
        <w:rPr>
          <w:sz w:val="20"/>
        </w:rPr>
        <w:t xml:space="preserve"> Зерно. Метод определения экстрактивности ячменя</w:t>
      </w:r>
    </w:p>
    <w:p>
      <w:pPr>
        <w:pStyle w:val="0"/>
        <w:spacing w:before="200" w:line-rule="auto"/>
        <w:ind w:firstLine="540"/>
        <w:jc w:val="both"/>
      </w:pPr>
      <w:hyperlink w:history="0" r:id="rId24"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5"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Зерно. Правила приемки и методы отбора проб</w:t>
      </w:r>
    </w:p>
    <w:p>
      <w:pPr>
        <w:pStyle w:val="0"/>
        <w:spacing w:before="200" w:line-rule="auto"/>
        <w:ind w:firstLine="540"/>
        <w:jc w:val="both"/>
      </w:pPr>
      <w:hyperlink w:history="0" r:id="rId26"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27"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 Зерно. Метод определения влажности</w:t>
      </w:r>
    </w:p>
    <w:p>
      <w:pPr>
        <w:pStyle w:val="0"/>
        <w:spacing w:before="200" w:line-rule="auto"/>
        <w:ind w:firstLine="540"/>
        <w:jc w:val="both"/>
      </w:pPr>
      <w:hyperlink w:history="0" r:id="rId28"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 Зерно. Методы определения зараженности вредителями</w:t>
      </w:r>
    </w:p>
    <w:p>
      <w:pPr>
        <w:pStyle w:val="0"/>
        <w:spacing w:before="200" w:line-rule="auto"/>
        <w:ind w:firstLine="540"/>
        <w:jc w:val="both"/>
      </w:pPr>
      <w:hyperlink w:history="0" r:id="rId29"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30"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31"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2"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3"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4"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5"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T-2 токсина, зеараленона (Ф-2) и охратоксина A</w:t>
      </w:r>
    </w:p>
    <w:p>
      <w:pPr>
        <w:pStyle w:val="0"/>
        <w:spacing w:before="200" w:line-rule="auto"/>
        <w:ind w:firstLine="540"/>
        <w:jc w:val="both"/>
      </w:pPr>
      <w:hyperlink w:history="0" r:id="rId36"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7"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8"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9"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B1 и M1</w:t>
      </w:r>
    </w:p>
    <w:p>
      <w:pPr>
        <w:pStyle w:val="0"/>
        <w:spacing w:before="200" w:line-rule="auto"/>
        <w:ind w:firstLine="540"/>
        <w:jc w:val="both"/>
      </w:pPr>
      <w:hyperlink w:history="0" r:id="rId40"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41"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2" w:tooltip="&quot;ГОСТ 31646-2012. Межгосударственный стандарт. Зерновые культуры. Метод определения содержания фузариозных зерен&quot; (введен в действие Приказом Росстандарта от 20.09.2012 N 373-ст) {КонсультантПлюс}">
        <w:r>
          <w:rPr>
            <w:sz w:val="20"/>
            <w:color w:val="0000ff"/>
          </w:rPr>
          <w:t xml:space="preserve">ГОСТ 31646</w:t>
        </w:r>
      </w:hyperlink>
      <w:r>
        <w:rPr>
          <w:sz w:val="20"/>
        </w:rPr>
        <w:t xml:space="preserve"> Зерновые культуры. Метод определения содержания фузариозных зерен</w:t>
      </w:r>
    </w:p>
    <w:p>
      <w:pPr>
        <w:pStyle w:val="0"/>
        <w:spacing w:before="200" w:line-rule="auto"/>
        <w:ind w:firstLine="540"/>
        <w:jc w:val="both"/>
      </w:pPr>
      <w:hyperlink w:history="0" r:id="rId43"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4"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5"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6"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7"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8"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9"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50"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51"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52"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A методом высокоэффективной жидкостной хроматографии</w:t>
      </w:r>
    </w:p>
    <w:p>
      <w:pPr>
        <w:pStyle w:val="0"/>
        <w:spacing w:before="200" w:line-rule="auto"/>
        <w:ind w:firstLine="540"/>
        <w:jc w:val="both"/>
      </w:pPr>
      <w:hyperlink w:history="0" r:id="rId53"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4"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Корма, комбикорма, комбикормовое сырье. Определение содержания микотоксинов прямым твердофазным конкурентным иммуноферментным методом</w:t>
      </w:r>
    </w:p>
    <w:p>
      <w:pPr>
        <w:pStyle w:val="0"/>
        <w:spacing w:before="200" w:line-rule="auto"/>
        <w:ind w:firstLine="540"/>
        <w:jc w:val="both"/>
      </w:pPr>
      <w:hyperlink w:history="0" r:id="rId55"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6"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hyperlink w:history="0" r:id="rId57"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 Продукты пищевые и корма для животных. Определение ртути методом атомно-абсорбционной спектрометрии на основе эффекта Зеемана</w:t>
      </w:r>
    </w:p>
    <w:p>
      <w:pPr>
        <w:pStyle w:val="0"/>
        <w:spacing w:before="200" w:line-rule="auto"/>
        <w:ind w:firstLine="540"/>
        <w:jc w:val="both"/>
      </w:pPr>
      <w:hyperlink w:history="0" r:id="rId58" w:tooltip="&quot;ГОСТ EN 13804-2013. Межгосударственный стандарт. Продукты пищевые. Определение следовых элементов. Критерии эффективности методик выполнения измерений, общие положения и способы подготовки проб&quot; (введен в действие Приказом Росстандарта от 27.06.2013 N 238-ст) {КонсультантПлюс}">
        <w:r>
          <w:rPr>
            <w:sz w:val="20"/>
            <w:color w:val="0000ff"/>
          </w:rPr>
          <w:t xml:space="preserve">ГОСТ EN 13804</w:t>
        </w:r>
      </w:hyperlink>
      <w:r>
        <w:rPr>
          <w:sz w:val="20"/>
        </w:rPr>
        <w:t xml:space="preserve"> Продукты пищевые. Определение следовых элементов. Критерии эффективности методик выполнения измерений, общие положения и способы подготовки проб</w:t>
      </w:r>
    </w:p>
    <w:p>
      <w:pPr>
        <w:pStyle w:val="0"/>
        <w:spacing w:before="200" w:line-rule="auto"/>
        <w:ind w:firstLine="540"/>
        <w:jc w:val="both"/>
      </w:pPr>
      <w:hyperlink w:history="0" r:id="rId59"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r>
        <w:rPr>
          <w:sz w:val="20"/>
        </w:rPr>
        <w:t xml:space="preserve">ГОСТ ИСО 21569 &lt;1&gt;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Не действует в Российской Федерации.</w:t>
      </w:r>
    </w:p>
    <w:p>
      <w:pPr>
        <w:pStyle w:val="0"/>
        <w:ind w:firstLine="540"/>
        <w:jc w:val="both"/>
      </w:pPr>
      <w:r>
        <w:rPr>
          <w:sz w:val="20"/>
        </w:rPr>
      </w:r>
    </w:p>
    <w:p>
      <w:pPr>
        <w:pStyle w:val="0"/>
        <w:ind w:firstLine="540"/>
        <w:jc w:val="both"/>
      </w:pPr>
      <w:r>
        <w:rPr>
          <w:sz w:val="20"/>
        </w:rPr>
        <w:t xml:space="preserve">ГОСТ ИСО 21570 &lt;2&gt;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В Российской Федерации действует </w:t>
      </w:r>
      <w:hyperlink w:history="0" r:id="rId60"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ИСО 21571 &lt;3&gt; 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В Российской Федерации действует </w:t>
      </w:r>
      <w:hyperlink w:history="0" r:id="rId61"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62"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 Зерно и продукты его переработки. Отбор проб</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63"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316" w:tooltip="[1]">
        <w:r>
          <w:rPr>
            <w:sz w:val="20"/>
            <w:color w:val="0000ff"/>
          </w:rPr>
          <w:t xml:space="preserve">[1]</w:t>
        </w:r>
      </w:hyperlink>
      <w:r>
        <w:rPr>
          <w:sz w:val="20"/>
        </w:rPr>
        <w:t xml:space="preserve"> и </w:t>
      </w:r>
      <w:hyperlink w:history="0" w:anchor="P319" w:tooltip="[2]">
        <w:r>
          <w:rPr>
            <w:sz w:val="20"/>
            <w:color w:val="0000ff"/>
          </w:rPr>
          <w:t xml:space="preserve">[2]</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Технические требования</w:t>
      </w:r>
    </w:p>
    <w:p>
      <w:pPr>
        <w:pStyle w:val="0"/>
        <w:ind w:firstLine="540"/>
        <w:jc w:val="both"/>
      </w:pPr>
      <w:r>
        <w:rPr>
          <w:sz w:val="20"/>
        </w:rPr>
      </w:r>
    </w:p>
    <w:p>
      <w:pPr>
        <w:pStyle w:val="0"/>
        <w:ind w:firstLine="540"/>
        <w:jc w:val="both"/>
      </w:pPr>
      <w:r>
        <w:rPr>
          <w:sz w:val="20"/>
        </w:rPr>
        <w:t xml:space="preserve">4.1 Ячмень используют для солодоращения и как несоложеное сырье. Ячмень, используемый для солодоращения, в зависимости от качества зерна подразделяют на классы.</w:t>
      </w:r>
    </w:p>
    <w:p>
      <w:pPr>
        <w:pStyle w:val="0"/>
        <w:spacing w:before="200" w:line-rule="auto"/>
        <w:ind w:firstLine="540"/>
        <w:jc w:val="both"/>
      </w:pPr>
      <w:r>
        <w:rPr>
          <w:sz w:val="20"/>
        </w:rPr>
        <w:t xml:space="preserve">4.2 Требования к качеству ячменя указаны в таблице 1.</w:t>
      </w:r>
    </w:p>
    <w:p>
      <w:pPr>
        <w:pStyle w:val="0"/>
        <w:ind w:firstLine="540"/>
        <w:jc w:val="both"/>
      </w:pPr>
      <w:r>
        <w:rPr>
          <w:sz w:val="20"/>
        </w:rPr>
      </w:r>
    </w:p>
    <w:bookmarkStart w:id="140" w:name="P140"/>
    <w:bookmarkEnd w:id="140"/>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870"/>
        <w:gridCol w:w="1984"/>
        <w:gridCol w:w="963"/>
        <w:gridCol w:w="1134"/>
      </w:tblGrid>
      <w:tr>
        <w:tc>
          <w:tcPr>
            <w:tcW w:w="3118" w:type="dxa"/>
            <w:vAlign w:val="center"/>
            <w:vMerge w:val="restart"/>
          </w:tcPr>
          <w:p>
            <w:pPr>
              <w:pStyle w:val="0"/>
              <w:jc w:val="center"/>
            </w:pPr>
            <w:r>
              <w:rPr>
                <w:sz w:val="20"/>
              </w:rPr>
              <w:t xml:space="preserve">Наименование показателя</w:t>
            </w:r>
          </w:p>
        </w:tc>
        <w:tc>
          <w:tcPr>
            <w:gridSpan w:val="4"/>
            <w:tcW w:w="5951" w:type="dxa"/>
            <w:vAlign w:val="center"/>
          </w:tcPr>
          <w:p>
            <w:pPr>
              <w:pStyle w:val="0"/>
              <w:jc w:val="center"/>
            </w:pPr>
            <w:r>
              <w:rPr>
                <w:sz w:val="20"/>
              </w:rPr>
              <w:t xml:space="preserve">Характеристики и нормы для ячменя</w:t>
            </w:r>
          </w:p>
        </w:tc>
      </w:tr>
      <w:tr>
        <w:tc>
          <w:tcPr>
            <w:vMerge w:val="continue"/>
          </w:tcPr>
          <w:p/>
        </w:tc>
        <w:tc>
          <w:tcPr>
            <w:gridSpan w:val="2"/>
            <w:tcW w:w="3854" w:type="dxa"/>
            <w:vAlign w:val="center"/>
          </w:tcPr>
          <w:p>
            <w:pPr>
              <w:pStyle w:val="0"/>
              <w:jc w:val="center"/>
            </w:pPr>
            <w:r>
              <w:rPr>
                <w:sz w:val="20"/>
              </w:rPr>
              <w:t xml:space="preserve">для солодоращения</w:t>
            </w:r>
          </w:p>
        </w:tc>
        <w:tc>
          <w:tcPr>
            <w:gridSpan w:val="2"/>
            <w:tcW w:w="2097" w:type="dxa"/>
            <w:vAlign w:val="center"/>
          </w:tcPr>
          <w:p>
            <w:pPr>
              <w:pStyle w:val="0"/>
              <w:jc w:val="center"/>
            </w:pPr>
            <w:r>
              <w:rPr>
                <w:sz w:val="20"/>
              </w:rPr>
              <w:t xml:space="preserve">для несоложеного зерна</w:t>
            </w:r>
          </w:p>
        </w:tc>
      </w:tr>
      <w:tr>
        <w:tc>
          <w:tcPr>
            <w:vMerge w:val="continue"/>
          </w:tcPr>
          <w:p/>
        </w:tc>
        <w:tc>
          <w:tcPr>
            <w:tcW w:w="1870" w:type="dxa"/>
            <w:vAlign w:val="center"/>
          </w:tcPr>
          <w:p>
            <w:pPr>
              <w:pStyle w:val="0"/>
              <w:jc w:val="center"/>
            </w:pPr>
            <w:r>
              <w:rPr>
                <w:sz w:val="20"/>
              </w:rPr>
              <w:t xml:space="preserve">1-го класса</w:t>
            </w:r>
          </w:p>
        </w:tc>
        <w:tc>
          <w:tcPr>
            <w:tcW w:w="1984" w:type="dxa"/>
            <w:vAlign w:val="center"/>
          </w:tcPr>
          <w:p>
            <w:pPr>
              <w:pStyle w:val="0"/>
              <w:jc w:val="center"/>
            </w:pPr>
            <w:r>
              <w:rPr>
                <w:sz w:val="20"/>
              </w:rPr>
              <w:t xml:space="preserve">2-го класса</w:t>
            </w:r>
          </w:p>
        </w:tc>
        <w:tc>
          <w:tcPr>
            <w:tcW w:w="963" w:type="dxa"/>
            <w:vAlign w:val="center"/>
          </w:tcPr>
          <w:p>
            <w:pPr>
              <w:pStyle w:val="0"/>
              <w:jc w:val="center"/>
            </w:pPr>
            <w:r>
              <w:rPr>
                <w:sz w:val="20"/>
              </w:rPr>
              <w:t xml:space="preserve">3-го класса</w:t>
            </w:r>
          </w:p>
        </w:tc>
        <w:tc>
          <w:tcPr>
            <w:tcW w:w="1134" w:type="dxa"/>
            <w:vAlign w:val="center"/>
          </w:tcPr>
          <w:p>
            <w:pPr>
              <w:pStyle w:val="0"/>
              <w:jc w:val="center"/>
            </w:pPr>
            <w:r>
              <w:rPr>
                <w:sz w:val="20"/>
              </w:rPr>
              <w:t xml:space="preserve">4-го класса</w:t>
            </w:r>
          </w:p>
        </w:tc>
      </w:tr>
      <w:tr>
        <w:tc>
          <w:tcPr>
            <w:tcW w:w="3118" w:type="dxa"/>
          </w:tcPr>
          <w:p>
            <w:pPr>
              <w:pStyle w:val="0"/>
            </w:pPr>
            <w:r>
              <w:rPr>
                <w:sz w:val="20"/>
              </w:rPr>
              <w:t xml:space="preserve">Цвет</w:t>
            </w:r>
          </w:p>
        </w:tc>
        <w:tc>
          <w:tcPr>
            <w:tcW w:w="1870" w:type="dxa"/>
            <w:vAlign w:val="center"/>
          </w:tcPr>
          <w:p>
            <w:pPr>
              <w:pStyle w:val="0"/>
              <w:jc w:val="center"/>
            </w:pPr>
            <w:r>
              <w:rPr>
                <w:sz w:val="20"/>
              </w:rPr>
              <w:t xml:space="preserve">Светло-желтый или желтый</w:t>
            </w:r>
          </w:p>
        </w:tc>
        <w:tc>
          <w:tcPr>
            <w:tcW w:w="1984" w:type="dxa"/>
            <w:vAlign w:val="center"/>
          </w:tcPr>
          <w:p>
            <w:pPr>
              <w:pStyle w:val="0"/>
              <w:jc w:val="center"/>
            </w:pPr>
            <w:r>
              <w:rPr>
                <w:sz w:val="20"/>
              </w:rPr>
              <w:t xml:space="preserve">Светло-желтый, желтый или серовато-желтый</w:t>
            </w:r>
          </w:p>
        </w:tc>
        <w:tc>
          <w:tcPr>
            <w:gridSpan w:val="2"/>
            <w:tcW w:w="2097" w:type="dxa"/>
            <w:vAlign w:val="center"/>
          </w:tcPr>
          <w:p>
            <w:pPr>
              <w:pStyle w:val="0"/>
              <w:jc w:val="center"/>
            </w:pPr>
            <w:r>
              <w:rPr>
                <w:sz w:val="20"/>
              </w:rPr>
              <w:t xml:space="preserve">Светло-желтый, желтый, серовато-желтый</w:t>
            </w:r>
          </w:p>
        </w:tc>
      </w:tr>
      <w:tr>
        <w:tc>
          <w:tcPr>
            <w:tcW w:w="3118" w:type="dxa"/>
          </w:tcPr>
          <w:p>
            <w:pPr>
              <w:pStyle w:val="0"/>
            </w:pPr>
            <w:r>
              <w:rPr>
                <w:sz w:val="20"/>
              </w:rPr>
              <w:t xml:space="preserve">Состояние</w:t>
            </w:r>
          </w:p>
        </w:tc>
        <w:tc>
          <w:tcPr>
            <w:gridSpan w:val="4"/>
            <w:tcW w:w="5951" w:type="dxa"/>
            <w:vAlign w:val="center"/>
          </w:tcPr>
          <w:p>
            <w:pPr>
              <w:pStyle w:val="0"/>
              <w:jc w:val="center"/>
            </w:pPr>
            <w:r>
              <w:rPr>
                <w:sz w:val="20"/>
              </w:rPr>
              <w:t xml:space="preserve">В здоровом, негреющемся состоянии</w:t>
            </w:r>
          </w:p>
        </w:tc>
      </w:tr>
      <w:tr>
        <w:tc>
          <w:tcPr>
            <w:tcW w:w="3118" w:type="dxa"/>
          </w:tcPr>
          <w:p>
            <w:pPr>
              <w:pStyle w:val="0"/>
            </w:pPr>
            <w:r>
              <w:rPr>
                <w:sz w:val="20"/>
              </w:rPr>
              <w:t xml:space="preserve">Запах</w:t>
            </w:r>
          </w:p>
        </w:tc>
        <w:tc>
          <w:tcPr>
            <w:gridSpan w:val="4"/>
            <w:tcW w:w="5951" w:type="dxa"/>
            <w:vAlign w:val="center"/>
          </w:tcPr>
          <w:p>
            <w:pPr>
              <w:pStyle w:val="0"/>
              <w:jc w:val="center"/>
            </w:pPr>
            <w:r>
              <w:rPr>
                <w:sz w:val="20"/>
              </w:rPr>
              <w:t xml:space="preserve">Свойственный здоровому зерну ячменя, без плесневого, солодового, затхлого и других посторонних запахов</w:t>
            </w:r>
          </w:p>
        </w:tc>
      </w:tr>
      <w:tr>
        <w:tc>
          <w:tcPr>
            <w:tcW w:w="3118" w:type="dxa"/>
          </w:tcPr>
          <w:p>
            <w:pPr>
              <w:pStyle w:val="0"/>
            </w:pPr>
            <w:r>
              <w:rPr>
                <w:sz w:val="20"/>
              </w:rPr>
              <w:t xml:space="preserve">Влажность, %, не более</w:t>
            </w:r>
          </w:p>
        </w:tc>
        <w:tc>
          <w:tcPr>
            <w:tcW w:w="1870" w:type="dxa"/>
            <w:vAlign w:val="center"/>
          </w:tcPr>
          <w:p>
            <w:pPr>
              <w:pStyle w:val="0"/>
              <w:jc w:val="center"/>
            </w:pPr>
            <w:r>
              <w:rPr>
                <w:sz w:val="20"/>
              </w:rPr>
              <w:t xml:space="preserve">14,5</w:t>
            </w:r>
          </w:p>
        </w:tc>
        <w:tc>
          <w:tcPr>
            <w:tcW w:w="1984" w:type="dxa"/>
            <w:vAlign w:val="center"/>
          </w:tcPr>
          <w:p>
            <w:pPr>
              <w:pStyle w:val="0"/>
              <w:jc w:val="center"/>
            </w:pPr>
            <w:r>
              <w:rPr>
                <w:sz w:val="20"/>
              </w:rPr>
              <w:t xml:space="preserve">15,0</w:t>
            </w:r>
          </w:p>
        </w:tc>
        <w:tc>
          <w:tcPr>
            <w:tcW w:w="963" w:type="dxa"/>
            <w:vAlign w:val="center"/>
          </w:tcPr>
          <w:p>
            <w:pPr>
              <w:pStyle w:val="0"/>
              <w:jc w:val="center"/>
            </w:pPr>
            <w:r>
              <w:rPr>
                <w:sz w:val="20"/>
              </w:rPr>
              <w:t xml:space="preserve">14,5</w:t>
            </w:r>
          </w:p>
        </w:tc>
        <w:tc>
          <w:tcPr>
            <w:tcW w:w="1134" w:type="dxa"/>
            <w:vAlign w:val="center"/>
          </w:tcPr>
          <w:p>
            <w:pPr>
              <w:pStyle w:val="0"/>
              <w:jc w:val="center"/>
            </w:pPr>
            <w:r>
              <w:rPr>
                <w:sz w:val="20"/>
              </w:rPr>
              <w:t xml:space="preserve">15,0</w:t>
            </w:r>
          </w:p>
        </w:tc>
      </w:tr>
      <w:tr>
        <w:tc>
          <w:tcPr>
            <w:tcW w:w="3118" w:type="dxa"/>
          </w:tcPr>
          <w:p>
            <w:pPr>
              <w:pStyle w:val="0"/>
            </w:pPr>
            <w:r>
              <w:rPr>
                <w:sz w:val="20"/>
              </w:rPr>
              <w:t xml:space="preserve">Массовая доля белка, в пересчете на сухое вещество, %, не более</w:t>
            </w:r>
          </w:p>
        </w:tc>
        <w:tc>
          <w:tcPr>
            <w:gridSpan w:val="2"/>
            <w:tcW w:w="3854" w:type="dxa"/>
            <w:vAlign w:val="center"/>
          </w:tcPr>
          <w:p>
            <w:pPr>
              <w:pStyle w:val="0"/>
              <w:jc w:val="center"/>
            </w:pPr>
            <w:r>
              <w:rPr>
                <w:sz w:val="20"/>
              </w:rPr>
              <w:t xml:space="preserve">12,0</w:t>
            </w:r>
          </w:p>
        </w:tc>
        <w:tc>
          <w:tcPr>
            <w:gridSpan w:val="2"/>
            <w:tcW w:w="2097" w:type="dxa"/>
            <w:vAlign w:val="center"/>
          </w:tcPr>
          <w:p>
            <w:pPr>
              <w:pStyle w:val="0"/>
              <w:jc w:val="center"/>
            </w:pPr>
            <w:r>
              <w:rPr>
                <w:sz w:val="20"/>
              </w:rPr>
              <w:t xml:space="preserve">11,5</w:t>
            </w:r>
          </w:p>
        </w:tc>
      </w:tr>
      <w:tr>
        <w:tc>
          <w:tcPr>
            <w:tcW w:w="3118" w:type="dxa"/>
          </w:tcPr>
          <w:p>
            <w:pPr>
              <w:pStyle w:val="0"/>
            </w:pPr>
            <w:r>
              <w:rPr>
                <w:sz w:val="20"/>
              </w:rPr>
              <w:t xml:space="preserve">Сорная примесь, %, не более</w:t>
            </w:r>
          </w:p>
        </w:tc>
        <w:tc>
          <w:tcPr>
            <w:tcW w:w="1870" w:type="dxa"/>
            <w:vAlign w:val="center"/>
          </w:tcPr>
          <w:p>
            <w:pPr>
              <w:pStyle w:val="0"/>
              <w:jc w:val="center"/>
            </w:pPr>
            <w:r>
              <w:rPr>
                <w:sz w:val="20"/>
              </w:rPr>
              <w:t xml:space="preserve">1,0</w:t>
            </w:r>
          </w:p>
        </w:tc>
        <w:tc>
          <w:tcPr>
            <w:tcW w:w="1984" w:type="dxa"/>
            <w:vAlign w:val="center"/>
          </w:tcPr>
          <w:p>
            <w:pPr>
              <w:pStyle w:val="0"/>
              <w:jc w:val="center"/>
            </w:pPr>
            <w:r>
              <w:rPr>
                <w:sz w:val="20"/>
              </w:rPr>
              <w:t xml:space="preserve">2,0</w:t>
            </w:r>
          </w:p>
        </w:tc>
        <w:tc>
          <w:tcPr>
            <w:gridSpan w:val="2"/>
            <w:tcW w:w="2097" w:type="dxa"/>
            <w:vAlign w:val="center"/>
          </w:tcPr>
          <w:p>
            <w:pPr>
              <w:pStyle w:val="0"/>
              <w:jc w:val="center"/>
            </w:pPr>
            <w:r>
              <w:rPr>
                <w:sz w:val="20"/>
              </w:rPr>
              <w:t xml:space="preserve">1,0</w:t>
            </w:r>
          </w:p>
        </w:tc>
      </w:tr>
      <w:tr>
        <w:tc>
          <w:tcPr>
            <w:tcW w:w="3118" w:type="dxa"/>
          </w:tcPr>
          <w:p>
            <w:pPr>
              <w:pStyle w:val="0"/>
            </w:pPr>
            <w:r>
              <w:rPr>
                <w:sz w:val="20"/>
              </w:rPr>
              <w:t xml:space="preserve">Зерновая примесь, %, не более</w:t>
            </w:r>
          </w:p>
        </w:tc>
        <w:tc>
          <w:tcPr>
            <w:tcW w:w="1870" w:type="dxa"/>
            <w:vAlign w:val="center"/>
          </w:tcPr>
          <w:p>
            <w:pPr>
              <w:pStyle w:val="0"/>
              <w:jc w:val="center"/>
            </w:pPr>
            <w:r>
              <w:rPr>
                <w:sz w:val="20"/>
              </w:rPr>
              <w:t xml:space="preserve">2,0</w:t>
            </w:r>
          </w:p>
        </w:tc>
        <w:tc>
          <w:tcPr>
            <w:tcW w:w="1984" w:type="dxa"/>
            <w:vAlign w:val="center"/>
          </w:tcPr>
          <w:p>
            <w:pPr>
              <w:pStyle w:val="0"/>
              <w:jc w:val="center"/>
            </w:pPr>
            <w:r>
              <w:rPr>
                <w:sz w:val="20"/>
              </w:rPr>
              <w:t xml:space="preserve">5,0</w:t>
            </w:r>
          </w:p>
        </w:tc>
        <w:tc>
          <w:tcPr>
            <w:tcW w:w="963" w:type="dxa"/>
            <w:vAlign w:val="center"/>
          </w:tcPr>
          <w:p>
            <w:pPr>
              <w:pStyle w:val="0"/>
              <w:jc w:val="center"/>
            </w:pPr>
            <w:r>
              <w:rPr>
                <w:sz w:val="20"/>
              </w:rPr>
              <w:t xml:space="preserve">2,0</w:t>
            </w:r>
          </w:p>
        </w:tc>
        <w:tc>
          <w:tcPr>
            <w:tcW w:w="1134" w:type="dxa"/>
            <w:vAlign w:val="center"/>
          </w:tcPr>
          <w:p>
            <w:pPr>
              <w:pStyle w:val="0"/>
              <w:jc w:val="center"/>
            </w:pPr>
            <w:r>
              <w:rPr>
                <w:sz w:val="20"/>
              </w:rPr>
              <w:t xml:space="preserve">5,0</w:t>
            </w:r>
          </w:p>
        </w:tc>
      </w:tr>
      <w:tr>
        <w:tc>
          <w:tcPr>
            <w:tcW w:w="3118" w:type="dxa"/>
          </w:tcPr>
          <w:p>
            <w:pPr>
              <w:pStyle w:val="0"/>
            </w:pPr>
            <w:r>
              <w:rPr>
                <w:sz w:val="20"/>
              </w:rPr>
              <w:t xml:space="preserve">Мелкие зерна, %, не более</w:t>
            </w:r>
          </w:p>
        </w:tc>
        <w:tc>
          <w:tcPr>
            <w:tcW w:w="1870" w:type="dxa"/>
            <w:vAlign w:val="center"/>
          </w:tcPr>
          <w:p>
            <w:pPr>
              <w:pStyle w:val="0"/>
              <w:jc w:val="center"/>
            </w:pPr>
            <w:r>
              <w:rPr>
                <w:sz w:val="20"/>
              </w:rPr>
              <w:t xml:space="preserve">5,0</w:t>
            </w:r>
          </w:p>
        </w:tc>
        <w:tc>
          <w:tcPr>
            <w:tcW w:w="1984" w:type="dxa"/>
            <w:vAlign w:val="center"/>
          </w:tcPr>
          <w:p>
            <w:pPr>
              <w:pStyle w:val="0"/>
              <w:jc w:val="center"/>
            </w:pPr>
            <w:r>
              <w:rPr>
                <w:sz w:val="20"/>
              </w:rPr>
              <w:t xml:space="preserve">7,0</w:t>
            </w:r>
          </w:p>
        </w:tc>
        <w:tc>
          <w:tcPr>
            <w:gridSpan w:val="2"/>
            <w:tcW w:w="2097" w:type="dxa"/>
            <w:vAlign w:val="center"/>
          </w:tcPr>
          <w:p>
            <w:pPr>
              <w:pStyle w:val="0"/>
              <w:jc w:val="center"/>
            </w:pPr>
            <w:r>
              <w:rPr>
                <w:sz w:val="20"/>
              </w:rPr>
              <w:t xml:space="preserve">5,0</w:t>
            </w:r>
          </w:p>
        </w:tc>
      </w:tr>
      <w:tr>
        <w:tc>
          <w:tcPr>
            <w:tcW w:w="3118" w:type="dxa"/>
          </w:tcPr>
          <w:p>
            <w:pPr>
              <w:pStyle w:val="0"/>
            </w:pPr>
            <w:r>
              <w:rPr>
                <w:sz w:val="20"/>
              </w:rPr>
              <w:t xml:space="preserve">Крупность, %, не менее</w:t>
            </w:r>
          </w:p>
        </w:tc>
        <w:tc>
          <w:tcPr>
            <w:tcW w:w="1870" w:type="dxa"/>
            <w:vAlign w:val="center"/>
          </w:tcPr>
          <w:p>
            <w:pPr>
              <w:pStyle w:val="0"/>
              <w:jc w:val="center"/>
            </w:pPr>
            <w:r>
              <w:rPr>
                <w:sz w:val="20"/>
              </w:rPr>
              <w:t xml:space="preserve">85,0</w:t>
            </w:r>
          </w:p>
        </w:tc>
        <w:tc>
          <w:tcPr>
            <w:tcW w:w="1984" w:type="dxa"/>
            <w:vAlign w:val="center"/>
          </w:tcPr>
          <w:p>
            <w:pPr>
              <w:pStyle w:val="0"/>
              <w:jc w:val="center"/>
            </w:pPr>
            <w:r>
              <w:rPr>
                <w:sz w:val="20"/>
              </w:rPr>
              <w:t xml:space="preserve">65,0</w:t>
            </w:r>
          </w:p>
        </w:tc>
        <w:tc>
          <w:tcPr>
            <w:tcW w:w="963" w:type="dxa"/>
            <w:vAlign w:val="center"/>
          </w:tcPr>
          <w:p>
            <w:pPr>
              <w:pStyle w:val="0"/>
              <w:jc w:val="center"/>
            </w:pPr>
            <w:r>
              <w:rPr>
                <w:sz w:val="20"/>
              </w:rPr>
              <w:t xml:space="preserve">85,0</w:t>
            </w:r>
          </w:p>
        </w:tc>
        <w:tc>
          <w:tcPr>
            <w:tcW w:w="1134" w:type="dxa"/>
            <w:vAlign w:val="center"/>
          </w:tcPr>
          <w:p>
            <w:pPr>
              <w:pStyle w:val="0"/>
              <w:jc w:val="center"/>
            </w:pPr>
            <w:r>
              <w:rPr>
                <w:sz w:val="20"/>
              </w:rPr>
              <w:t xml:space="preserve">65,0</w:t>
            </w:r>
          </w:p>
        </w:tc>
      </w:tr>
      <w:tr>
        <w:tc>
          <w:tcPr>
            <w:tcW w:w="3118" w:type="dxa"/>
          </w:tcPr>
          <w:p>
            <w:pPr>
              <w:pStyle w:val="0"/>
            </w:pPr>
            <w:r>
              <w:rPr>
                <w:sz w:val="20"/>
              </w:rPr>
              <w:t xml:space="preserve">Способность прорастания, %, не менее (для зерна, поставляемого не ранее чем за 45 дней после его уборки)</w:t>
            </w:r>
          </w:p>
        </w:tc>
        <w:tc>
          <w:tcPr>
            <w:tcW w:w="1870" w:type="dxa"/>
            <w:vAlign w:val="center"/>
          </w:tcPr>
          <w:p>
            <w:pPr>
              <w:pStyle w:val="0"/>
              <w:jc w:val="center"/>
            </w:pPr>
            <w:r>
              <w:rPr>
                <w:sz w:val="20"/>
              </w:rPr>
              <w:t xml:space="preserve">95,0</w:t>
            </w:r>
          </w:p>
        </w:tc>
        <w:tc>
          <w:tcPr>
            <w:tcW w:w="1984" w:type="dxa"/>
            <w:vAlign w:val="center"/>
          </w:tcPr>
          <w:p>
            <w:pPr>
              <w:pStyle w:val="0"/>
              <w:jc w:val="center"/>
            </w:pPr>
            <w:r>
              <w:rPr>
                <w:sz w:val="20"/>
              </w:rPr>
              <w:t xml:space="preserve">90,0</w:t>
            </w:r>
          </w:p>
        </w:tc>
        <w:tc>
          <w:tcPr>
            <w:gridSpan w:val="2"/>
            <w:tcW w:w="2097" w:type="dxa"/>
            <w:vAlign w:val="center"/>
          </w:tcPr>
          <w:p>
            <w:pPr>
              <w:pStyle w:val="0"/>
              <w:jc w:val="center"/>
            </w:pPr>
            <w:r>
              <w:rPr>
                <w:sz w:val="20"/>
              </w:rPr>
              <w:t xml:space="preserve">Не нормируется </w:t>
            </w:r>
            <w:hyperlink w:history="0" w:anchor="P195" w:tooltip="&lt;*&gt; Показатель качества не определяют для указанных классов.">
              <w:r>
                <w:rPr>
                  <w:sz w:val="20"/>
                  <w:color w:val="0000ff"/>
                </w:rPr>
                <w:t xml:space="preserve">&lt;*&gt;</w:t>
              </w:r>
            </w:hyperlink>
          </w:p>
        </w:tc>
      </w:tr>
      <w:tr>
        <w:tc>
          <w:tcPr>
            <w:tcW w:w="3118" w:type="dxa"/>
          </w:tcPr>
          <w:p>
            <w:pPr>
              <w:pStyle w:val="0"/>
            </w:pPr>
            <w:r>
              <w:rPr>
                <w:sz w:val="20"/>
              </w:rPr>
              <w:t xml:space="preserve">Жизнеспособность, %, не менее (для зерна, поставляемого в срок до 45 дней после его уборки)</w:t>
            </w:r>
          </w:p>
        </w:tc>
        <w:tc>
          <w:tcPr>
            <w:gridSpan w:val="2"/>
            <w:tcW w:w="3854" w:type="dxa"/>
            <w:vAlign w:val="center"/>
          </w:tcPr>
          <w:p>
            <w:pPr>
              <w:pStyle w:val="0"/>
              <w:jc w:val="center"/>
            </w:pPr>
            <w:r>
              <w:rPr>
                <w:sz w:val="20"/>
              </w:rPr>
              <w:t xml:space="preserve">95,0</w:t>
            </w:r>
          </w:p>
        </w:tc>
        <w:tc>
          <w:tcPr>
            <w:gridSpan w:val="2"/>
            <w:tcW w:w="2097" w:type="dxa"/>
            <w:vAlign w:val="center"/>
          </w:tcPr>
          <w:p>
            <w:pPr>
              <w:pStyle w:val="0"/>
              <w:jc w:val="center"/>
            </w:pPr>
            <w:r>
              <w:rPr>
                <w:sz w:val="20"/>
              </w:rPr>
              <w:t xml:space="preserve">Не нормируется </w:t>
            </w:r>
            <w:hyperlink w:history="0" w:anchor="P195" w:tooltip="&lt;*&gt; Показатель качества не определяют для указанных классов.">
              <w:r>
                <w:rPr>
                  <w:sz w:val="20"/>
                  <w:color w:val="0000ff"/>
                </w:rPr>
                <w:t xml:space="preserve">&lt;*&gt;</w:t>
              </w:r>
            </w:hyperlink>
          </w:p>
        </w:tc>
      </w:tr>
      <w:tr>
        <w:tc>
          <w:tcPr>
            <w:tcW w:w="3118" w:type="dxa"/>
          </w:tcPr>
          <w:p>
            <w:pPr>
              <w:pStyle w:val="0"/>
            </w:pPr>
            <w:r>
              <w:rPr>
                <w:sz w:val="20"/>
              </w:rPr>
              <w:t xml:space="preserve">Экстрактивность в пересчете на сухое вещество, %, не менее</w:t>
            </w:r>
          </w:p>
        </w:tc>
        <w:tc>
          <w:tcPr>
            <w:gridSpan w:val="2"/>
            <w:tcW w:w="3854" w:type="dxa"/>
            <w:vAlign w:val="center"/>
          </w:tcPr>
          <w:p>
            <w:pPr>
              <w:pStyle w:val="0"/>
              <w:jc w:val="center"/>
            </w:pPr>
            <w:r>
              <w:rPr>
                <w:sz w:val="20"/>
              </w:rPr>
              <w:t xml:space="preserve">Не нормируется </w:t>
            </w:r>
            <w:hyperlink w:history="0" w:anchor="P195" w:tooltip="&lt;*&gt; Показатель качества не определяют для указанных классов.">
              <w:r>
                <w:rPr>
                  <w:sz w:val="20"/>
                  <w:color w:val="0000ff"/>
                </w:rPr>
                <w:t xml:space="preserve">&lt;*&gt;</w:t>
              </w:r>
            </w:hyperlink>
          </w:p>
        </w:tc>
        <w:tc>
          <w:tcPr>
            <w:tcW w:w="963" w:type="dxa"/>
            <w:vAlign w:val="center"/>
          </w:tcPr>
          <w:p>
            <w:pPr>
              <w:pStyle w:val="0"/>
              <w:jc w:val="center"/>
            </w:pPr>
            <w:r>
              <w:rPr>
                <w:sz w:val="20"/>
              </w:rPr>
              <w:t xml:space="preserve">78</w:t>
            </w:r>
          </w:p>
        </w:tc>
        <w:tc>
          <w:tcPr>
            <w:tcW w:w="1134" w:type="dxa"/>
            <w:vAlign w:val="center"/>
          </w:tcPr>
          <w:p>
            <w:pPr>
              <w:pStyle w:val="0"/>
              <w:jc w:val="center"/>
            </w:pPr>
            <w:r>
              <w:rPr>
                <w:sz w:val="20"/>
              </w:rPr>
              <w:t xml:space="preserve">75</w:t>
            </w:r>
          </w:p>
        </w:tc>
      </w:tr>
      <w:tr>
        <w:tc>
          <w:tcPr>
            <w:gridSpan w:val="5"/>
            <w:tcW w:w="9069" w:type="dxa"/>
            <w:vAlign w:val="bottom"/>
          </w:tcPr>
          <w:bookmarkStart w:id="195" w:name="P195"/>
          <w:bookmarkEnd w:id="195"/>
          <w:p>
            <w:pPr>
              <w:pStyle w:val="0"/>
              <w:ind w:firstLine="283"/>
              <w:jc w:val="both"/>
            </w:pPr>
            <w:r>
              <w:rPr>
                <w:sz w:val="20"/>
              </w:rPr>
              <w:t xml:space="preserve">&lt;*&gt; Показатель качества не определяют для указанных классов.</w:t>
            </w:r>
          </w:p>
          <w:p>
            <w:pPr>
              <w:pStyle w:val="0"/>
              <w:ind w:firstLine="283"/>
              <w:jc w:val="both"/>
            </w:pPr>
            <w:r>
              <w:rPr>
                <w:sz w:val="20"/>
              </w:rPr>
            </w:r>
          </w:p>
          <w:p>
            <w:pPr>
              <w:pStyle w:val="0"/>
              <w:ind w:firstLine="283"/>
              <w:jc w:val="both"/>
            </w:pPr>
            <w:r>
              <w:rPr>
                <w:sz w:val="20"/>
              </w:rPr>
              <w:t xml:space="preserve">Примечание - Крупность - отношение массы зерен ячменя в остатке на сите (сходе с сита) с продолговатыми отверстиями размером 2,5 x 20,0 мм к массе основного зерна анализируемой навески, выраженное в процентах.</w:t>
            </w:r>
          </w:p>
        </w:tc>
      </w:tr>
    </w:tbl>
    <w:p>
      <w:pPr>
        <w:pStyle w:val="0"/>
        <w:ind w:firstLine="540"/>
        <w:jc w:val="both"/>
      </w:pPr>
      <w:r>
        <w:rPr>
          <w:sz w:val="20"/>
        </w:rPr>
      </w:r>
    </w:p>
    <w:p>
      <w:pPr>
        <w:pStyle w:val="0"/>
        <w:ind w:firstLine="540"/>
        <w:jc w:val="both"/>
      </w:pPr>
      <w:r>
        <w:rPr>
          <w:sz w:val="20"/>
        </w:rPr>
        <w:t xml:space="preserve">4.3 При неблагоприятных климатических условиях и при отсутствии ячменя с пониженным содержанием белка допускается при переработке на солод использование ячменя с содержанием белка не более 12,5%.</w:t>
      </w:r>
    </w:p>
    <w:p>
      <w:pPr>
        <w:pStyle w:val="0"/>
        <w:spacing w:before="200" w:line-rule="auto"/>
        <w:ind w:firstLine="540"/>
        <w:jc w:val="both"/>
      </w:pPr>
      <w:r>
        <w:rPr>
          <w:sz w:val="20"/>
        </w:rPr>
        <w:t xml:space="preserve">4.4 Ячмень 1-го и 2-го классов предназначен для солодоращения, а 3-го и 4-го классов - используется как несоложеное зерно.</w:t>
      </w:r>
    </w:p>
    <w:p>
      <w:pPr>
        <w:pStyle w:val="0"/>
        <w:spacing w:before="200" w:line-rule="auto"/>
        <w:ind w:firstLine="540"/>
        <w:jc w:val="both"/>
      </w:pPr>
      <w:r>
        <w:rPr>
          <w:sz w:val="20"/>
        </w:rPr>
        <w:t xml:space="preserve">4.5 Содержание токсичных элементов, микотоксинов, бенз(а)пирена, пестицидов, радионуклидов, вредных примесей, генно-модифицированных организмов (ГМО), зараженность вредителями и загрязненность мертвыми насекомыми-вредителями в зерне ячменя не должно превышать допустимые уровни, установленные </w:t>
      </w:r>
      <w:hyperlink w:history="0" w:anchor="P316" w:tooltip="[1]">
        <w:r>
          <w:rPr>
            <w:sz w:val="20"/>
            <w:color w:val="0000ff"/>
          </w:rPr>
          <w:t xml:space="preserve">[1]</w:t>
        </w:r>
      </w:hyperlink>
      <w:r>
        <w:rPr>
          <w:sz w:val="20"/>
        </w:rPr>
        <w:t xml:space="preserve">, а также нормативными правовыми актами, действующими на территории государства, принявшего стандарт. Допустимые нормы содержания фузариозных зерен - по нормативным правовым актам,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b w:val="on"/>
        </w:rPr>
        <w:t xml:space="preserve">4.6 Состав основного зерна, сорной и зерновой примесей</w:t>
      </w:r>
    </w:p>
    <w:p>
      <w:pPr>
        <w:pStyle w:val="0"/>
        <w:ind w:firstLine="540"/>
        <w:jc w:val="both"/>
      </w:pPr>
      <w:r>
        <w:rPr>
          <w:sz w:val="20"/>
        </w:rPr>
      </w:r>
    </w:p>
    <w:p>
      <w:pPr>
        <w:pStyle w:val="0"/>
        <w:ind w:firstLine="540"/>
        <w:jc w:val="both"/>
      </w:pPr>
      <w:r>
        <w:rPr>
          <w:sz w:val="20"/>
        </w:rPr>
        <w:t xml:space="preserve">4.6.1 К основному зерну относят:</w:t>
      </w:r>
    </w:p>
    <w:p>
      <w:pPr>
        <w:pStyle w:val="0"/>
        <w:spacing w:before="200" w:line-rule="auto"/>
        <w:ind w:firstLine="540"/>
        <w:jc w:val="both"/>
      </w:pPr>
      <w:r>
        <w:rPr>
          <w:sz w:val="20"/>
        </w:rPr>
        <w:t xml:space="preserve">- целые и поврежденные зерна ячменя, по характеру повреждений не отнесенные к сорной и зерновой примесям;</w:t>
      </w:r>
    </w:p>
    <w:p>
      <w:pPr>
        <w:pStyle w:val="0"/>
        <w:spacing w:before="200" w:line-rule="auto"/>
        <w:ind w:firstLine="540"/>
        <w:jc w:val="both"/>
      </w:pPr>
      <w:r>
        <w:rPr>
          <w:sz w:val="20"/>
        </w:rPr>
        <w:t xml:space="preserve">- мелкие зерна ячменя, проходящие через сито с продолговатыми отверстиями размером 2,2 x 20,0 мм;</w:t>
      </w:r>
    </w:p>
    <w:p>
      <w:pPr>
        <w:pStyle w:val="0"/>
        <w:spacing w:before="200" w:line-rule="auto"/>
        <w:ind w:firstLine="540"/>
        <w:jc w:val="both"/>
      </w:pPr>
      <w:r>
        <w:rPr>
          <w:sz w:val="20"/>
        </w:rPr>
        <w:t xml:space="preserve">4.6.2 К сорной примеси относят:</w:t>
      </w:r>
    </w:p>
    <w:p>
      <w:pPr>
        <w:pStyle w:val="0"/>
        <w:spacing w:before="200" w:line-rule="auto"/>
        <w:ind w:firstLine="540"/>
        <w:jc w:val="both"/>
      </w:pPr>
      <w:r>
        <w:rPr>
          <w:sz w:val="20"/>
        </w:rPr>
        <w:t xml:space="preserve">а) весь проход через сито с отверстиями диаметром 1,5 мм;</w:t>
      </w:r>
    </w:p>
    <w:p>
      <w:pPr>
        <w:pStyle w:val="0"/>
        <w:spacing w:before="200" w:line-rule="auto"/>
        <w:ind w:firstLine="540"/>
        <w:jc w:val="both"/>
      </w:pPr>
      <w:r>
        <w:rPr>
          <w:sz w:val="20"/>
        </w:rPr>
        <w:t xml:space="preserve">б) в остатке на сите с отверстиями диаметром 1,5 мм:</w:t>
      </w:r>
    </w:p>
    <w:p>
      <w:pPr>
        <w:pStyle w:val="0"/>
        <w:spacing w:before="200" w:line-rule="auto"/>
        <w:ind w:firstLine="540"/>
        <w:jc w:val="both"/>
      </w:pPr>
      <w:r>
        <w:rPr>
          <w:sz w:val="20"/>
        </w:rPr>
        <w:t xml:space="preserve">1) минеральную примесь - гальку, комочки земли, шлак, руду и т.п.;</w:t>
      </w:r>
    </w:p>
    <w:p>
      <w:pPr>
        <w:pStyle w:val="0"/>
        <w:spacing w:before="200" w:line-rule="auto"/>
        <w:ind w:firstLine="540"/>
        <w:jc w:val="both"/>
      </w:pPr>
      <w:r>
        <w:rPr>
          <w:sz w:val="20"/>
        </w:rPr>
        <w:t xml:space="preserve">2) органическую примесь - части стеблей и стержней колоса, ости, пленки и т.п.;</w:t>
      </w:r>
    </w:p>
    <w:p>
      <w:pPr>
        <w:pStyle w:val="0"/>
        <w:spacing w:before="200" w:line-rule="auto"/>
        <w:ind w:firstLine="540"/>
        <w:jc w:val="both"/>
      </w:pPr>
      <w:r>
        <w:rPr>
          <w:sz w:val="20"/>
        </w:rPr>
        <w:t xml:space="preserve">3) семена дикорастущих растений;</w:t>
      </w:r>
    </w:p>
    <w:p>
      <w:pPr>
        <w:pStyle w:val="0"/>
        <w:spacing w:before="200" w:line-rule="auto"/>
        <w:ind w:firstLine="540"/>
        <w:jc w:val="both"/>
      </w:pPr>
      <w:r>
        <w:rPr>
          <w:sz w:val="20"/>
        </w:rPr>
        <w:t xml:space="preserve">4) испорченные зерна ячменя, пшеницы, полбы, тритикале, ржи и овса - загнившие, заплесневевшие, поджаренные, обуглившиеся, все с явно испорченным эндоспермом от коричневого до черного цвета, а также со светлым, но рыхлым, легко рассыпающимся эндоспермом;</w:t>
      </w:r>
    </w:p>
    <w:p>
      <w:pPr>
        <w:pStyle w:val="0"/>
        <w:spacing w:before="200" w:line-rule="auto"/>
        <w:ind w:firstLine="540"/>
        <w:jc w:val="both"/>
      </w:pPr>
      <w:r>
        <w:rPr>
          <w:sz w:val="20"/>
        </w:rPr>
        <w:t xml:space="preserve">5) зерна ячменя пшеницы, полбы, тритикале, ржи и овса с полностью выеденным эндоспермом;</w:t>
      </w:r>
    </w:p>
    <w:p>
      <w:pPr>
        <w:pStyle w:val="0"/>
        <w:spacing w:before="200" w:line-rule="auto"/>
        <w:ind w:firstLine="540"/>
        <w:jc w:val="both"/>
      </w:pPr>
      <w:r>
        <w:rPr>
          <w:sz w:val="20"/>
        </w:rPr>
        <w:t xml:space="preserve">6) вредную примесь, состав которой установлен в </w:t>
      </w:r>
      <w:hyperlink w:history="0" w:anchor="P316" w:tooltip="[1]">
        <w:r>
          <w:rPr>
            <w:sz w:val="20"/>
            <w:color w:val="0000ff"/>
          </w:rPr>
          <w:t xml:space="preserve">[1]</w:t>
        </w:r>
      </w:hyperlink>
      <w:r>
        <w:rPr>
          <w:sz w:val="20"/>
        </w:rPr>
        <w:t xml:space="preserve">;</w:t>
      </w:r>
    </w:p>
    <w:p>
      <w:pPr>
        <w:pStyle w:val="0"/>
        <w:spacing w:before="200" w:line-rule="auto"/>
        <w:ind w:firstLine="540"/>
        <w:jc w:val="both"/>
      </w:pPr>
      <w:r>
        <w:rPr>
          <w:sz w:val="20"/>
        </w:rPr>
        <w:t xml:space="preserve">7) семена культурных растений, не отнесенные к зерновой примеси.</w:t>
      </w:r>
    </w:p>
    <w:p>
      <w:pPr>
        <w:pStyle w:val="0"/>
        <w:spacing w:before="200" w:line-rule="auto"/>
        <w:ind w:firstLine="540"/>
        <w:jc w:val="both"/>
      </w:pPr>
      <w:r>
        <w:rPr>
          <w:sz w:val="20"/>
        </w:rPr>
        <w:t xml:space="preserve">4.6.3 К зерновой примеси относят:</w:t>
      </w:r>
    </w:p>
    <w:p>
      <w:pPr>
        <w:pStyle w:val="0"/>
        <w:spacing w:before="200" w:line-rule="auto"/>
        <w:ind w:firstLine="540"/>
        <w:jc w:val="both"/>
      </w:pPr>
      <w:r>
        <w:rPr>
          <w:sz w:val="20"/>
        </w:rPr>
        <w:t xml:space="preserve">а) битые и изъеденные независимо от характера и размера повреждений, давленые, с нарушенной оболочкой и открытым эндоспермом, у которых на одну треть или более удалены оболочки или оболочки отошли от зародыша;</w:t>
      </w:r>
    </w:p>
    <w:p>
      <w:pPr>
        <w:pStyle w:val="0"/>
        <w:spacing w:before="200" w:line-rule="auto"/>
        <w:ind w:firstLine="540"/>
        <w:jc w:val="both"/>
      </w:pPr>
      <w:r>
        <w:rPr>
          <w:sz w:val="20"/>
        </w:rPr>
        <w:t xml:space="preserve">б) недозрелые - сильно недозрелые (щуплые), а также зеленые деформирующиеся при надавливании шпателем;</w:t>
      </w:r>
    </w:p>
    <w:p>
      <w:pPr>
        <w:pStyle w:val="0"/>
        <w:spacing w:before="200" w:line-rule="auto"/>
        <w:ind w:firstLine="540"/>
        <w:jc w:val="both"/>
      </w:pPr>
      <w:r>
        <w:rPr>
          <w:sz w:val="20"/>
        </w:rPr>
        <w:t xml:space="preserve">в) проросшие, с вышедшим наружу корешком или ростком;</w:t>
      </w:r>
    </w:p>
    <w:p>
      <w:pPr>
        <w:pStyle w:val="0"/>
        <w:spacing w:before="200" w:line-rule="auto"/>
        <w:ind w:firstLine="540"/>
        <w:jc w:val="both"/>
      </w:pPr>
      <w:r>
        <w:rPr>
          <w:sz w:val="20"/>
        </w:rPr>
        <w:t xml:space="preserve">г) поврежденные - зерна ячменя, поврежденные сушкой или самосогреванием с измененным цветом эндосперма от кремового до светло-коричневого цвета;</w:t>
      </w:r>
    </w:p>
    <w:p>
      <w:pPr>
        <w:pStyle w:val="0"/>
        <w:spacing w:before="200" w:line-rule="auto"/>
        <w:ind w:firstLine="540"/>
        <w:jc w:val="both"/>
      </w:pPr>
      <w:r>
        <w:rPr>
          <w:sz w:val="20"/>
        </w:rPr>
        <w:t xml:space="preserve">д) зерна пшеницы, полбы, тритикале, ржи и овса целые или поврежденные, не отнесенные по характеру повреждений к сорной примеси.</w:t>
      </w:r>
    </w:p>
    <w:p>
      <w:pPr>
        <w:pStyle w:val="0"/>
        <w:spacing w:before="200" w:line-rule="auto"/>
        <w:ind w:firstLine="540"/>
        <w:jc w:val="both"/>
      </w:pPr>
      <w:r>
        <w:rPr>
          <w:sz w:val="20"/>
        </w:rPr>
        <w:t xml:space="preserve">4.7 Класс ячменя определяют после его послеуборочной обработки на технологических линиях очистки и сушки по всем показателям, установленным в </w:t>
      </w:r>
      <w:hyperlink w:history="0" w:anchor="P140" w:tooltip="Таблица 1">
        <w:r>
          <w:rPr>
            <w:sz w:val="20"/>
            <w:color w:val="0000ff"/>
          </w:rPr>
          <w:t xml:space="preserve">таблице 1</w:t>
        </w:r>
      </w:hyperlink>
      <w:r>
        <w:rPr>
          <w:sz w:val="20"/>
        </w:rPr>
        <w:t xml:space="preserve">, по наихудшему значению одного из показателей.</w:t>
      </w:r>
    </w:p>
    <w:p>
      <w:pPr>
        <w:pStyle w:val="0"/>
        <w:ind w:firstLine="540"/>
        <w:jc w:val="both"/>
      </w:pPr>
      <w:r>
        <w:rPr>
          <w:sz w:val="20"/>
        </w:rPr>
      </w:r>
    </w:p>
    <w:p>
      <w:pPr>
        <w:pStyle w:val="2"/>
        <w:outlineLvl w:val="1"/>
        <w:ind w:firstLine="540"/>
        <w:jc w:val="both"/>
      </w:pPr>
      <w:r>
        <w:rPr>
          <w:sz w:val="20"/>
          <w:b w:val="on"/>
        </w:rPr>
        <w:t xml:space="preserve">5 Требования безопасности</w:t>
      </w:r>
    </w:p>
    <w:p>
      <w:pPr>
        <w:pStyle w:val="0"/>
        <w:ind w:firstLine="540"/>
        <w:jc w:val="both"/>
      </w:pPr>
      <w:r>
        <w:rPr>
          <w:sz w:val="20"/>
        </w:rPr>
      </w:r>
    </w:p>
    <w:p>
      <w:pPr>
        <w:pStyle w:val="0"/>
        <w:ind w:firstLine="540"/>
        <w:jc w:val="both"/>
      </w:pPr>
      <w:r>
        <w:rPr>
          <w:sz w:val="20"/>
        </w:rPr>
        <w:t xml:space="preserve">5.1 Склады и зернохранилища для размещения ячменя должны быть оснащены вентиляционными системами по </w:t>
      </w:r>
      <w:hyperlink w:history="0" r:id="rId64" w:tooltip="Ссылка на КонсультантПлюс">
        <w:r>
          <w:rPr>
            <w:sz w:val="20"/>
            <w:color w:val="0000ff"/>
          </w:rPr>
          <w:t xml:space="preserve">ГОСТ 12.4.021</w:t>
        </w:r>
      </w:hyperlink>
      <w:r>
        <w:rPr>
          <w:sz w:val="20"/>
        </w:rPr>
        <w:t xml:space="preserve">, соответствовать требованиям пожарной безопасности по </w:t>
      </w:r>
      <w:hyperlink w:history="0" r:id="rId65"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66"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5.2 Производственное оборудование должно соответствовать требованиям безопасности по </w:t>
      </w:r>
      <w:hyperlink w:history="0" r:id="rId67"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5.3 Содержание пыли в воздухе рабочей зоны не должно превышать допустимых значений по </w:t>
      </w:r>
      <w:hyperlink w:history="0" r:id="rId68" w:tooltip="Ссылка на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6 Правила приемки</w:t>
      </w:r>
    </w:p>
    <w:p>
      <w:pPr>
        <w:pStyle w:val="0"/>
        <w:ind w:firstLine="540"/>
        <w:jc w:val="both"/>
      </w:pPr>
      <w:r>
        <w:rPr>
          <w:sz w:val="20"/>
        </w:rPr>
      </w:r>
    </w:p>
    <w:p>
      <w:pPr>
        <w:pStyle w:val="0"/>
        <w:ind w:firstLine="540"/>
        <w:jc w:val="both"/>
      </w:pPr>
      <w:r>
        <w:rPr>
          <w:sz w:val="20"/>
        </w:rPr>
        <w:t xml:space="preserve">6.1 Правила приемки - по </w:t>
      </w:r>
      <w:hyperlink w:history="0" r:id="rId69"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6.2 Контроль содержания токсичных элементов, микотоксинов, бенз(а)пирена, пестицидов, радионуклидов, ГМО, вредных примесей, а также зараженности вредителями и загрязненности мертвыми насекомыми-вредителями в зерне ячменя осуществляют в соответствии с порядком, установленным изготовителем продукции с учетом требований нормативных правовых документов государства, принявшего стандарт.</w:t>
      </w:r>
    </w:p>
    <w:p>
      <w:pPr>
        <w:pStyle w:val="0"/>
        <w:spacing w:before="200" w:line-rule="auto"/>
        <w:ind w:firstLine="540"/>
        <w:jc w:val="both"/>
      </w:pPr>
      <w:r>
        <w:rPr>
          <w:sz w:val="20"/>
        </w:rPr>
        <w:t xml:space="preserve">6.3 В каждой партии зерна определяют состояние зерна, запах, цвет, влажность, содержание сорной и зерновой примесей, зараженность вредителями, крупность, массовую долю белка.</w:t>
      </w:r>
    </w:p>
    <w:p>
      <w:pPr>
        <w:pStyle w:val="0"/>
        <w:spacing w:before="200" w:line-rule="auto"/>
        <w:ind w:firstLine="540"/>
        <w:jc w:val="both"/>
      </w:pPr>
      <w:r>
        <w:rPr>
          <w:sz w:val="20"/>
        </w:rPr>
        <w:t xml:space="preserve">Примечание - Определение массовой доли белка, в пересчете на сухое вещество, во время приемки осуществляют экспресс-методом. Для уточнения класса ячменя определение массовой доли белка, в пересчете на сухое вещество, осуществляют основным методом по </w:t>
      </w:r>
      <w:hyperlink w:history="0" r:id="rId70" w:tooltip="&quot;ГОСТ 10846-91. Межгосударственный стандарт. Зерно и продукты его переработки. Метод определения белка&quot; (утв. и введен в действие Постановлением Госстандарта СССР от 18.12.1991 N 1995) {КонсультантПлюс}">
        <w:r>
          <w:rPr>
            <w:sz w:val="20"/>
            <w:color w:val="0000ff"/>
          </w:rPr>
          <w:t xml:space="preserve">ГОСТ 10846</w:t>
        </w:r>
      </w:hyperlink>
      <w:r>
        <w:rPr>
          <w:sz w:val="20"/>
        </w:rPr>
        <w:t xml:space="preserve"> или по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t xml:space="preserve">6.4 Каждую партию ячменя необходимо сопровождать товаросопроводительными документами в соответствии с требованиями </w:t>
      </w:r>
      <w:hyperlink w:history="0" w:anchor="P316" w:tooltip="[1]">
        <w:r>
          <w:rPr>
            <w:sz w:val="20"/>
            <w:color w:val="0000ff"/>
          </w:rPr>
          <w:t xml:space="preserve">[1]</w:t>
        </w:r>
      </w:hyperlink>
      <w:r>
        <w:rPr>
          <w:sz w:val="20"/>
        </w:rPr>
        <w:t xml:space="preserve"> или нормативных документов, действующих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7 Методы контроля</w:t>
      </w:r>
    </w:p>
    <w:p>
      <w:pPr>
        <w:pStyle w:val="0"/>
        <w:ind w:firstLine="540"/>
        <w:jc w:val="both"/>
      </w:pPr>
      <w:r>
        <w:rPr>
          <w:sz w:val="20"/>
        </w:rPr>
      </w:r>
    </w:p>
    <w:p>
      <w:pPr>
        <w:pStyle w:val="0"/>
        <w:ind w:firstLine="540"/>
        <w:jc w:val="both"/>
      </w:pPr>
      <w:r>
        <w:rPr>
          <w:sz w:val="20"/>
        </w:rPr>
        <w:t xml:space="preserve">7.1 Отбор проб - по </w:t>
      </w:r>
      <w:hyperlink w:history="0" r:id="rId71"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w:t>
      </w:r>
      <w:hyperlink w:history="0" r:id="rId72" w:tooltip="&quot;ГОСТ ISO 24333-2017. Межгосударственный стандарт. Зерно и продукты его переработки. Отбор проб&quot; (введен в действие Приказом Росстандарта от 15.09.2017 N 1126-ст) {КонсультантПлюс}">
        <w:r>
          <w:rPr>
            <w:sz w:val="20"/>
            <w:color w:val="0000ff"/>
          </w:rPr>
          <w:t xml:space="preserve">ГОСТ ISO 24333</w:t>
        </w:r>
      </w:hyperlink>
      <w:r>
        <w:rPr>
          <w:sz w:val="20"/>
        </w:rPr>
        <w:t xml:space="preserve">.</w:t>
      </w:r>
    </w:p>
    <w:p>
      <w:pPr>
        <w:pStyle w:val="0"/>
        <w:spacing w:before="200" w:line-rule="auto"/>
        <w:ind w:firstLine="540"/>
        <w:jc w:val="both"/>
      </w:pPr>
      <w:r>
        <w:rPr>
          <w:sz w:val="20"/>
        </w:rPr>
        <w:t xml:space="preserve">7.2 Определение запаха, цвета и обесцвеченности - по </w:t>
      </w:r>
      <w:hyperlink w:history="0" r:id="rId73"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w:t>
      </w:r>
    </w:p>
    <w:p>
      <w:pPr>
        <w:pStyle w:val="0"/>
        <w:spacing w:before="200" w:line-rule="auto"/>
        <w:ind w:firstLine="540"/>
        <w:jc w:val="both"/>
      </w:pPr>
      <w:r>
        <w:rPr>
          <w:sz w:val="20"/>
        </w:rPr>
        <w:t xml:space="preserve">7.3 Определение влажности - по </w:t>
      </w:r>
      <w:hyperlink w:history="0" r:id="rId74"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w:t>
      </w:r>
    </w:p>
    <w:p>
      <w:pPr>
        <w:pStyle w:val="0"/>
        <w:spacing w:before="200" w:line-rule="auto"/>
        <w:ind w:firstLine="540"/>
        <w:jc w:val="both"/>
      </w:pPr>
      <w:r>
        <w:rPr>
          <w:sz w:val="20"/>
        </w:rPr>
        <w:t xml:space="preserve">7.4 Определение сорной и зерновой примесей, крупности, содержания мелкого зерна - по </w:t>
      </w:r>
      <w:hyperlink w:history="0" r:id="rId75"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7.5 Определение зараженности вредителями - по </w:t>
      </w:r>
      <w:hyperlink w:history="0" r:id="rId76"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w:t>
      </w:r>
      <w:hyperlink w:history="0" r:id="rId77"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w:t>
      </w:r>
    </w:p>
    <w:p>
      <w:pPr>
        <w:pStyle w:val="0"/>
        <w:spacing w:before="200" w:line-rule="auto"/>
        <w:ind w:firstLine="540"/>
        <w:jc w:val="both"/>
      </w:pPr>
      <w:r>
        <w:rPr>
          <w:sz w:val="20"/>
        </w:rPr>
        <w:t xml:space="preserve">7.6 Определение загрязненности вредителями - по </w:t>
      </w:r>
      <w:hyperlink w:history="0" r:id="rId78"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7.7 Определение жизнеспособности - по </w:t>
      </w:r>
      <w:hyperlink w:history="0" r:id="rId79" w:tooltip="&quot;ГОСТ 12039-82. Межгосударственный стандарт. Семена сельскохозяйственных культур. Методы определения жизнеспособности&quot; (введен Постановлением Госстандарта СССР от 09.06.1982 N 2331) {КонсультантПлюс}">
        <w:r>
          <w:rPr>
            <w:sz w:val="20"/>
            <w:color w:val="0000ff"/>
          </w:rPr>
          <w:t xml:space="preserve">ГОСТ 12039</w:t>
        </w:r>
      </w:hyperlink>
      <w:r>
        <w:rPr>
          <w:sz w:val="20"/>
        </w:rPr>
        <w:t xml:space="preserve">.</w:t>
      </w:r>
    </w:p>
    <w:p>
      <w:pPr>
        <w:pStyle w:val="0"/>
        <w:spacing w:before="200" w:line-rule="auto"/>
        <w:ind w:firstLine="540"/>
        <w:jc w:val="both"/>
      </w:pPr>
      <w:r>
        <w:rPr>
          <w:sz w:val="20"/>
        </w:rPr>
        <w:t xml:space="preserve">7.8 Определение способности прорастания - по </w:t>
      </w:r>
      <w:hyperlink w:history="0" r:id="rId80" w:tooltip="&quot;ГОСТ 10968-88. Государственный стандарт Союза ССР. Зерно. Методы определения энергии прорастания и способности прорастания&quot; (утв. и введен в действие Постановлением Госстандарта СССР от 25.02.1988 N 371) (ред. от 01.02.1995) {КонсультантПлюс}">
        <w:r>
          <w:rPr>
            <w:sz w:val="20"/>
            <w:color w:val="0000ff"/>
          </w:rPr>
          <w:t xml:space="preserve">ГОСТ 10968</w:t>
        </w:r>
      </w:hyperlink>
      <w:r>
        <w:rPr>
          <w:sz w:val="20"/>
        </w:rPr>
        <w:t xml:space="preserve">.</w:t>
      </w:r>
    </w:p>
    <w:p>
      <w:pPr>
        <w:pStyle w:val="0"/>
        <w:spacing w:before="200" w:line-rule="auto"/>
        <w:ind w:firstLine="540"/>
        <w:jc w:val="both"/>
      </w:pPr>
      <w:r>
        <w:rPr>
          <w:sz w:val="20"/>
        </w:rPr>
        <w:t xml:space="preserve">7.9 Определение массовой доли белка - по </w:t>
      </w:r>
      <w:hyperlink w:history="0" r:id="rId81" w:tooltip="&quot;ГОСТ 10846-91. Межгосударственный стандарт. Зерно и продукты его переработки. Метод определения белка&quot; (утв. и введен в действие Постановлением Госстандарта СССР от 18.12.1991 N 1995) {КонсультантПлюс}">
        <w:r>
          <w:rPr>
            <w:sz w:val="20"/>
            <w:color w:val="0000ff"/>
          </w:rPr>
          <w:t xml:space="preserve">ГОСТ 10846</w:t>
        </w:r>
      </w:hyperlink>
      <w:r>
        <w:rPr>
          <w:sz w:val="20"/>
        </w:rPr>
        <w:t xml:space="preserve"> или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7.10 Определение экстрактивности ячменя - по </w:t>
      </w:r>
      <w:hyperlink w:history="0" r:id="rId82" w:tooltip="&quot;ГОСТ 12136-77*. Государственный стандарт Союза ССР. Зерно. Метод определения экстрактивности ячменя&quot; (введен Постановлением Госстандарта СССР от 24.02.1977 N 494) (ред. от 01.12.1994) {КонсультантПлюс}">
        <w:r>
          <w:rPr>
            <w:sz w:val="20"/>
            <w:color w:val="0000ff"/>
          </w:rPr>
          <w:t xml:space="preserve">ГОСТ 12136</w:t>
        </w:r>
      </w:hyperlink>
      <w:r>
        <w:rPr>
          <w:sz w:val="20"/>
        </w:rPr>
        <w:t xml:space="preserve">.</w:t>
      </w:r>
    </w:p>
    <w:p>
      <w:pPr>
        <w:pStyle w:val="0"/>
        <w:spacing w:before="200" w:line-rule="auto"/>
        <w:ind w:firstLine="540"/>
        <w:jc w:val="both"/>
      </w:pPr>
      <w:r>
        <w:rPr>
          <w:sz w:val="20"/>
        </w:rPr>
        <w:t xml:space="preserve">7.11 Определение фузариозных зерен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7.12 Подготовка проб и минерализация для определения содержания токсичных элементов - по </w:t>
      </w:r>
      <w:hyperlink w:history="0" r:id="rId83"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84"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или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7.13 Определение токсичных элементов - по </w:t>
      </w:r>
      <w:hyperlink w:history="0" r:id="rId85"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а также:</w:t>
      </w:r>
    </w:p>
    <w:p>
      <w:pPr>
        <w:pStyle w:val="0"/>
        <w:spacing w:before="200" w:line-rule="auto"/>
        <w:ind w:firstLine="540"/>
        <w:jc w:val="both"/>
      </w:pPr>
      <w:r>
        <w:rPr>
          <w:sz w:val="20"/>
        </w:rPr>
        <w:t xml:space="preserve">- ртути - по </w:t>
      </w:r>
      <w:hyperlink w:history="0" r:id="rId86"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87"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88"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w:t>
      </w:r>
      <w:hyperlink w:history="0" r:id="rId89" w:tooltip="&quot;ГОСТ 34427-2018. Межгосударственный стандарт. Продукты пищевые и корма для животных. Определение ртути методом атомно-абсорбционной спектрометрии на основе эффекта Зеемана&quot; (введен в действие Приказом Росстандарта от 04.07.2018 N 380-ст) {КонсультантПлюс}">
        <w:r>
          <w:rPr>
            <w:sz w:val="20"/>
            <w:color w:val="0000ff"/>
          </w:rPr>
          <w:t xml:space="preserve">ГОСТ 34427</w:t>
        </w:r>
      </w:hyperlink>
      <w:r>
        <w:rPr>
          <w:sz w:val="20"/>
        </w:rPr>
        <w:t xml:space="preserve">;</w:t>
      </w:r>
    </w:p>
    <w:p>
      <w:pPr>
        <w:pStyle w:val="0"/>
        <w:spacing w:before="200" w:line-rule="auto"/>
        <w:ind w:firstLine="540"/>
        <w:jc w:val="both"/>
      </w:pPr>
      <w:r>
        <w:rPr>
          <w:sz w:val="20"/>
        </w:rPr>
        <w:t xml:space="preserve">- мышьяка - по </w:t>
      </w:r>
      <w:hyperlink w:history="0" r:id="rId90"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91"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92"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93"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 свинца - по </w:t>
      </w:r>
      <w:hyperlink w:history="0" r:id="rId94"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95"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96"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97"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w:t>
      </w:r>
    </w:p>
    <w:p>
      <w:pPr>
        <w:pStyle w:val="0"/>
        <w:spacing w:before="200" w:line-rule="auto"/>
        <w:ind w:firstLine="540"/>
        <w:jc w:val="both"/>
      </w:pPr>
      <w:r>
        <w:rPr>
          <w:sz w:val="20"/>
        </w:rPr>
        <w:t xml:space="preserve">- кадмия - по </w:t>
      </w:r>
      <w:hyperlink w:history="0" r:id="rId98"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99"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100"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w:t>
      </w:r>
      <w:hyperlink w:history="0" r:id="rId101" w:tooltip="&quot;ГОСТ EN 14083-2013. Межгосударственный стандарт. Продукты пищевые. Определение следовых элементов. Определение свинца, кадмия, хрома и молибдена с помощью атомно-абсорбционной спектрометрии с атомизацией в графитовой печи с предварительной минерализацией пробы при повышенном давлении&quot; (введен в действие Приказом Росстандарта от 22.11.2013 N 1745-ст) {КонсультантПлюс}">
        <w:r>
          <w:rPr>
            <w:sz w:val="20"/>
            <w:color w:val="0000ff"/>
          </w:rPr>
          <w:t xml:space="preserve">ГОСТ EN 14083</w:t>
        </w:r>
      </w:hyperlink>
      <w:r>
        <w:rPr>
          <w:sz w:val="20"/>
        </w:rPr>
        <w:t xml:space="preserve">.</w:t>
      </w:r>
    </w:p>
    <w:p>
      <w:pPr>
        <w:pStyle w:val="0"/>
        <w:spacing w:before="200" w:line-rule="auto"/>
        <w:ind w:firstLine="540"/>
        <w:jc w:val="both"/>
      </w:pPr>
      <w:r>
        <w:rPr>
          <w:sz w:val="20"/>
        </w:rPr>
        <w:t xml:space="preserve">7.14 Определение пестицидов - по </w:t>
      </w:r>
      <w:hyperlink w:history="0" r:id="rId102"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103"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или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7.15 Отбор проб и определение содержания микотоксинов - по </w:t>
      </w:r>
      <w:hyperlink w:history="0" r:id="rId104"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105"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w:t>
      </w:r>
      <w:hyperlink w:history="0" r:id="rId106"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w:t>
      </w:r>
      <w:hyperlink w:history="0" r:id="rId107"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или по нормативным документам, действующим на территории государства, принявшего стандарт, а также:</w:t>
      </w:r>
    </w:p>
    <w:p>
      <w:pPr>
        <w:pStyle w:val="0"/>
        <w:spacing w:before="200" w:line-rule="auto"/>
        <w:ind w:firstLine="540"/>
        <w:jc w:val="both"/>
      </w:pPr>
      <w:r>
        <w:rPr>
          <w:sz w:val="20"/>
        </w:rPr>
        <w:t xml:space="preserve">- афлатоксина B1 - по </w:t>
      </w:r>
      <w:hyperlink w:history="0" r:id="rId108"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109"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T-2 токсина - по </w:t>
      </w:r>
      <w:hyperlink w:history="0" r:id="rId110"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 зеараленона - по </w:t>
      </w:r>
      <w:hyperlink w:history="0" r:id="rId111"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охратоксина A - по </w:t>
      </w:r>
      <w:hyperlink w:history="0" r:id="rId112"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113"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7.16 Определение бенз(а)пирена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7.17 Отбор проб для определения радионуклидов - по </w:t>
      </w:r>
      <w:hyperlink w:history="0" r:id="rId114"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7.18 Определение радионуклидов - по </w:t>
      </w:r>
      <w:hyperlink w:history="0" r:id="rId115"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116"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w:t>
      </w:r>
    </w:p>
    <w:p>
      <w:pPr>
        <w:pStyle w:val="0"/>
        <w:spacing w:before="200" w:line-rule="auto"/>
        <w:ind w:firstLine="540"/>
        <w:jc w:val="both"/>
      </w:pPr>
      <w:r>
        <w:rPr>
          <w:sz w:val="20"/>
        </w:rPr>
        <w:t xml:space="preserve">7.19 Определение остаточных количеств 2,4-Д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7.20 Определение ртутьорганических пестицидов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7.21 Определение ГМО - по ГОСТ ИСО 21569, ГОСТ ИСО 21570, ГОСТ ИСО 21571 или по нормативным документам, действующим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8 Транспортирование и хранение</w:t>
      </w:r>
    </w:p>
    <w:p>
      <w:pPr>
        <w:pStyle w:val="0"/>
        <w:ind w:firstLine="540"/>
        <w:jc w:val="both"/>
      </w:pPr>
      <w:r>
        <w:rPr>
          <w:sz w:val="20"/>
        </w:rPr>
      </w:r>
    </w:p>
    <w:p>
      <w:pPr>
        <w:pStyle w:val="0"/>
        <w:ind w:firstLine="540"/>
        <w:jc w:val="both"/>
      </w:pPr>
      <w:r>
        <w:rPr>
          <w:sz w:val="20"/>
        </w:rPr>
        <w:t xml:space="preserve">8.1 Ячмень размещают, транспортируют и хранят в чистых, сухих, без постороннего запаха, не зараженных вредителями транспортных средствах и зернохранилищах в соответствии с санитарными правилами и нормами, утвержденными с учетом требований нормативных документов, действующих на территории государства, принявшего стандарт, а также правилами перевозок, действующими на транспорте данного вида. Во время погрузки, разгрузки и транспортирования ячмень должен быть защищен от попадания атмосферных осадков.</w:t>
      </w:r>
    </w:p>
    <w:p>
      <w:pPr>
        <w:pStyle w:val="0"/>
        <w:spacing w:before="200" w:line-rule="auto"/>
        <w:ind w:firstLine="540"/>
        <w:jc w:val="both"/>
      </w:pPr>
      <w:r>
        <w:rPr>
          <w:sz w:val="20"/>
        </w:rPr>
        <w:t xml:space="preserve">8.2 При размещении, транспортировании и хранении учитывают состояния зерна, указанные в таблице 2.</w:t>
      </w:r>
    </w:p>
    <w:p>
      <w:pPr>
        <w:pStyle w:val="0"/>
        <w:ind w:firstLine="540"/>
        <w:jc w:val="both"/>
      </w:pPr>
      <w:r>
        <w:rPr>
          <w:sz w:val="20"/>
        </w:rPr>
      </w:r>
    </w:p>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648"/>
        <w:gridCol w:w="4422"/>
      </w:tblGrid>
      <w:tr>
        <w:tblPrEx>
          <w:tblBorders>
            <w:insideH w:val="single" w:sz="4"/>
          </w:tblBorders>
        </w:tblPrEx>
        <w:tc>
          <w:tcPr>
            <w:tcW w:w="4648" w:type="dxa"/>
            <w:vAlign w:val="center"/>
            <w:tcBorders>
              <w:top w:val="single" w:sz="4"/>
              <w:bottom w:val="single" w:sz="4"/>
            </w:tcBorders>
          </w:tcPr>
          <w:p>
            <w:pPr>
              <w:pStyle w:val="0"/>
              <w:jc w:val="center"/>
            </w:pPr>
            <w:r>
              <w:rPr>
                <w:sz w:val="20"/>
              </w:rPr>
              <w:t xml:space="preserve">Состояние ячменя</w:t>
            </w:r>
          </w:p>
        </w:tc>
        <w:tc>
          <w:tcPr>
            <w:tcW w:w="4422" w:type="dxa"/>
            <w:vAlign w:val="center"/>
            <w:tcBorders>
              <w:top w:val="single" w:sz="4"/>
              <w:bottom w:val="single" w:sz="4"/>
            </w:tcBorders>
          </w:tcPr>
          <w:p>
            <w:pPr>
              <w:pStyle w:val="0"/>
              <w:jc w:val="center"/>
            </w:pPr>
            <w:r>
              <w:rPr>
                <w:sz w:val="20"/>
              </w:rPr>
              <w:t xml:space="preserve">Норма, %</w:t>
            </w:r>
          </w:p>
        </w:tc>
      </w:tr>
      <w:tr>
        <w:tblPrEx>
          <w:tblBorders>
            <w:insideH w:val="single" w:sz="4"/>
          </w:tblBorders>
        </w:tblPrEx>
        <w:tc>
          <w:tcPr>
            <w:gridSpan w:val="2"/>
            <w:tcW w:w="9070" w:type="dxa"/>
            <w:vAlign w:val="center"/>
            <w:tcBorders>
              <w:top w:val="single" w:sz="4"/>
              <w:bottom w:val="single" w:sz="4"/>
            </w:tcBorders>
          </w:tcPr>
          <w:p>
            <w:pPr>
              <w:pStyle w:val="0"/>
              <w:jc w:val="center"/>
            </w:pPr>
            <w:r>
              <w:rPr>
                <w:sz w:val="20"/>
              </w:rPr>
              <w:t xml:space="preserve">По влажности</w:t>
            </w:r>
          </w:p>
        </w:tc>
      </w:tr>
      <w:tr>
        <w:tc>
          <w:tcPr>
            <w:tcW w:w="4648" w:type="dxa"/>
            <w:vAlign w:val="center"/>
            <w:tcBorders>
              <w:top w:val="single" w:sz="4"/>
              <w:bottom w:val="nil"/>
            </w:tcBorders>
          </w:tcPr>
          <w:p>
            <w:pPr>
              <w:pStyle w:val="0"/>
              <w:jc w:val="center"/>
            </w:pPr>
            <w:r>
              <w:rPr>
                <w:sz w:val="20"/>
              </w:rPr>
              <w:t xml:space="preserve">Сухое</w:t>
            </w:r>
          </w:p>
        </w:tc>
        <w:tc>
          <w:tcPr>
            <w:tcW w:w="4422" w:type="dxa"/>
            <w:vAlign w:val="center"/>
            <w:tcBorders>
              <w:top w:val="single" w:sz="4"/>
              <w:bottom w:val="nil"/>
            </w:tcBorders>
          </w:tcPr>
          <w:p>
            <w:pPr>
              <w:pStyle w:val="0"/>
              <w:jc w:val="center"/>
            </w:pPr>
            <w:r>
              <w:rPr>
                <w:sz w:val="20"/>
              </w:rPr>
              <w:t xml:space="preserve">Не более 14,5</w:t>
            </w:r>
          </w:p>
        </w:tc>
      </w:tr>
      <w:tr>
        <w:tc>
          <w:tcPr>
            <w:tcW w:w="4648" w:type="dxa"/>
            <w:vAlign w:val="center"/>
            <w:tcBorders>
              <w:top w:val="nil"/>
              <w:bottom w:val="nil"/>
            </w:tcBorders>
          </w:tcPr>
          <w:p>
            <w:pPr>
              <w:pStyle w:val="0"/>
              <w:jc w:val="center"/>
            </w:pPr>
            <w:r>
              <w:rPr>
                <w:sz w:val="20"/>
              </w:rPr>
              <w:t xml:space="preserve">Средней сухости</w:t>
            </w:r>
          </w:p>
        </w:tc>
        <w:tc>
          <w:tcPr>
            <w:tcW w:w="4422" w:type="dxa"/>
            <w:vAlign w:val="center"/>
            <w:tcBorders>
              <w:top w:val="nil"/>
              <w:bottom w:val="nil"/>
            </w:tcBorders>
          </w:tcPr>
          <w:p>
            <w:pPr>
              <w:pStyle w:val="0"/>
              <w:jc w:val="center"/>
            </w:pPr>
            <w:r>
              <w:rPr>
                <w:sz w:val="20"/>
              </w:rPr>
              <w:t xml:space="preserve">14,6 - 16,0</w:t>
            </w:r>
          </w:p>
        </w:tc>
      </w:tr>
      <w:tr>
        <w:tc>
          <w:tcPr>
            <w:tcW w:w="4648" w:type="dxa"/>
            <w:vAlign w:val="center"/>
            <w:tcBorders>
              <w:top w:val="nil"/>
              <w:bottom w:val="nil"/>
            </w:tcBorders>
          </w:tcPr>
          <w:p>
            <w:pPr>
              <w:pStyle w:val="0"/>
              <w:jc w:val="center"/>
            </w:pPr>
            <w:r>
              <w:rPr>
                <w:sz w:val="20"/>
              </w:rPr>
              <w:t xml:space="preserve">Влажное</w:t>
            </w:r>
          </w:p>
        </w:tc>
        <w:tc>
          <w:tcPr>
            <w:tcW w:w="4422" w:type="dxa"/>
            <w:vAlign w:val="center"/>
            <w:tcBorders>
              <w:top w:val="nil"/>
              <w:bottom w:val="nil"/>
            </w:tcBorders>
          </w:tcPr>
          <w:p>
            <w:pPr>
              <w:pStyle w:val="0"/>
              <w:jc w:val="center"/>
            </w:pPr>
            <w:r>
              <w:rPr>
                <w:sz w:val="20"/>
              </w:rPr>
              <w:t xml:space="preserve">16,1 - 17,5</w:t>
            </w:r>
          </w:p>
        </w:tc>
      </w:tr>
      <w:tr>
        <w:tc>
          <w:tcPr>
            <w:tcW w:w="4648" w:type="dxa"/>
            <w:vAlign w:val="center"/>
            <w:tcBorders>
              <w:top w:val="nil"/>
              <w:bottom w:val="single" w:sz="4"/>
            </w:tcBorders>
          </w:tcPr>
          <w:p>
            <w:pPr>
              <w:pStyle w:val="0"/>
              <w:jc w:val="center"/>
            </w:pPr>
            <w:r>
              <w:rPr>
                <w:sz w:val="20"/>
              </w:rPr>
              <w:t xml:space="preserve">Сырое</w:t>
            </w:r>
          </w:p>
        </w:tc>
        <w:tc>
          <w:tcPr>
            <w:tcW w:w="4422" w:type="dxa"/>
            <w:vAlign w:val="center"/>
            <w:tcBorders>
              <w:top w:val="nil"/>
              <w:bottom w:val="single" w:sz="4"/>
            </w:tcBorders>
          </w:tcPr>
          <w:p>
            <w:pPr>
              <w:pStyle w:val="0"/>
              <w:jc w:val="center"/>
            </w:pPr>
            <w:r>
              <w:rPr>
                <w:sz w:val="20"/>
              </w:rPr>
              <w:t xml:space="preserve">17,6 и более</w:t>
            </w:r>
          </w:p>
        </w:tc>
      </w:tr>
      <w:tr>
        <w:tblPrEx>
          <w:tblBorders>
            <w:insideH w:val="single" w:sz="4"/>
          </w:tblBorders>
        </w:tblPrEx>
        <w:tc>
          <w:tcPr>
            <w:gridSpan w:val="2"/>
            <w:tcW w:w="9070" w:type="dxa"/>
            <w:vAlign w:val="center"/>
            <w:tcBorders>
              <w:top w:val="single" w:sz="4"/>
              <w:bottom w:val="single" w:sz="4"/>
            </w:tcBorders>
          </w:tcPr>
          <w:p>
            <w:pPr>
              <w:pStyle w:val="0"/>
              <w:jc w:val="center"/>
            </w:pPr>
            <w:r>
              <w:rPr>
                <w:sz w:val="20"/>
              </w:rPr>
              <w:t xml:space="preserve">По сорной примеси</w:t>
            </w:r>
          </w:p>
        </w:tc>
      </w:tr>
      <w:tr>
        <w:tc>
          <w:tcPr>
            <w:tcW w:w="4648" w:type="dxa"/>
            <w:vAlign w:val="center"/>
            <w:tcBorders>
              <w:top w:val="single" w:sz="4"/>
              <w:bottom w:val="nil"/>
            </w:tcBorders>
          </w:tcPr>
          <w:p>
            <w:pPr>
              <w:pStyle w:val="0"/>
              <w:jc w:val="center"/>
            </w:pPr>
            <w:r>
              <w:rPr>
                <w:sz w:val="20"/>
              </w:rPr>
              <w:t xml:space="preserve">Чистое</w:t>
            </w:r>
          </w:p>
        </w:tc>
        <w:tc>
          <w:tcPr>
            <w:tcW w:w="4422" w:type="dxa"/>
            <w:vAlign w:val="center"/>
            <w:tcBorders>
              <w:top w:val="single" w:sz="4"/>
              <w:bottom w:val="nil"/>
            </w:tcBorders>
          </w:tcPr>
          <w:p>
            <w:pPr>
              <w:pStyle w:val="0"/>
              <w:jc w:val="center"/>
            </w:pPr>
            <w:r>
              <w:rPr>
                <w:sz w:val="20"/>
              </w:rPr>
              <w:t xml:space="preserve">Не более 2,0</w:t>
            </w:r>
          </w:p>
        </w:tc>
      </w:tr>
      <w:tr>
        <w:tc>
          <w:tcPr>
            <w:tcW w:w="4648" w:type="dxa"/>
            <w:vAlign w:val="center"/>
            <w:tcBorders>
              <w:top w:val="nil"/>
              <w:bottom w:val="nil"/>
            </w:tcBorders>
          </w:tcPr>
          <w:p>
            <w:pPr>
              <w:pStyle w:val="0"/>
              <w:jc w:val="center"/>
            </w:pPr>
            <w:r>
              <w:rPr>
                <w:sz w:val="20"/>
              </w:rPr>
              <w:t xml:space="preserve">Средней чистоты</w:t>
            </w:r>
          </w:p>
        </w:tc>
        <w:tc>
          <w:tcPr>
            <w:tcW w:w="4422" w:type="dxa"/>
            <w:vAlign w:val="center"/>
            <w:tcBorders>
              <w:top w:val="nil"/>
              <w:bottom w:val="nil"/>
            </w:tcBorders>
          </w:tcPr>
          <w:p>
            <w:pPr>
              <w:pStyle w:val="0"/>
              <w:jc w:val="center"/>
            </w:pPr>
            <w:r>
              <w:rPr>
                <w:sz w:val="20"/>
              </w:rPr>
              <w:t xml:space="preserve">2,1 - 4,0</w:t>
            </w:r>
          </w:p>
        </w:tc>
      </w:tr>
      <w:tr>
        <w:tc>
          <w:tcPr>
            <w:tcW w:w="4648" w:type="dxa"/>
            <w:vAlign w:val="center"/>
            <w:tcBorders>
              <w:top w:val="nil"/>
              <w:bottom w:val="single" w:sz="4"/>
            </w:tcBorders>
          </w:tcPr>
          <w:p>
            <w:pPr>
              <w:pStyle w:val="0"/>
              <w:jc w:val="center"/>
            </w:pPr>
            <w:r>
              <w:rPr>
                <w:sz w:val="20"/>
              </w:rPr>
              <w:t xml:space="preserve">Сорное</w:t>
            </w:r>
          </w:p>
        </w:tc>
        <w:tc>
          <w:tcPr>
            <w:tcW w:w="4422" w:type="dxa"/>
            <w:vAlign w:val="center"/>
            <w:tcBorders>
              <w:top w:val="nil"/>
              <w:bottom w:val="single" w:sz="4"/>
            </w:tcBorders>
          </w:tcPr>
          <w:p>
            <w:pPr>
              <w:pStyle w:val="0"/>
              <w:jc w:val="center"/>
            </w:pPr>
            <w:r>
              <w:rPr>
                <w:sz w:val="20"/>
              </w:rPr>
              <w:t xml:space="preserve">4,1 и более</w:t>
            </w:r>
          </w:p>
        </w:tc>
      </w:tr>
      <w:tr>
        <w:tblPrEx>
          <w:tblBorders>
            <w:insideH w:val="single" w:sz="4"/>
          </w:tblBorders>
        </w:tblPrEx>
        <w:tc>
          <w:tcPr>
            <w:gridSpan w:val="2"/>
            <w:tcW w:w="9070" w:type="dxa"/>
            <w:vAlign w:val="center"/>
            <w:tcBorders>
              <w:top w:val="single" w:sz="4"/>
              <w:bottom w:val="single" w:sz="4"/>
            </w:tcBorders>
          </w:tcPr>
          <w:p>
            <w:pPr>
              <w:pStyle w:val="0"/>
              <w:jc w:val="center"/>
            </w:pPr>
            <w:r>
              <w:rPr>
                <w:sz w:val="20"/>
              </w:rPr>
              <w:t xml:space="preserve">По зерновой примеси</w:t>
            </w:r>
          </w:p>
        </w:tc>
      </w:tr>
      <w:tr>
        <w:tc>
          <w:tcPr>
            <w:tcW w:w="4648" w:type="dxa"/>
            <w:vAlign w:val="center"/>
            <w:tcBorders>
              <w:top w:val="single" w:sz="4"/>
              <w:bottom w:val="nil"/>
            </w:tcBorders>
          </w:tcPr>
          <w:p>
            <w:pPr>
              <w:pStyle w:val="0"/>
              <w:jc w:val="center"/>
            </w:pPr>
            <w:r>
              <w:rPr>
                <w:sz w:val="20"/>
              </w:rPr>
              <w:t xml:space="preserve">Чистое</w:t>
            </w:r>
          </w:p>
        </w:tc>
        <w:tc>
          <w:tcPr>
            <w:tcW w:w="4422" w:type="dxa"/>
            <w:vAlign w:val="center"/>
            <w:tcBorders>
              <w:top w:val="single" w:sz="4"/>
              <w:bottom w:val="nil"/>
            </w:tcBorders>
          </w:tcPr>
          <w:p>
            <w:pPr>
              <w:pStyle w:val="0"/>
              <w:jc w:val="center"/>
            </w:pPr>
            <w:r>
              <w:rPr>
                <w:sz w:val="20"/>
              </w:rPr>
              <w:t xml:space="preserve">Не более 2,0</w:t>
            </w:r>
          </w:p>
        </w:tc>
      </w:tr>
      <w:tr>
        <w:tc>
          <w:tcPr>
            <w:tcW w:w="4648" w:type="dxa"/>
            <w:vAlign w:val="center"/>
            <w:tcBorders>
              <w:top w:val="nil"/>
              <w:bottom w:val="nil"/>
            </w:tcBorders>
          </w:tcPr>
          <w:p>
            <w:pPr>
              <w:pStyle w:val="0"/>
              <w:jc w:val="center"/>
            </w:pPr>
            <w:r>
              <w:rPr>
                <w:sz w:val="20"/>
              </w:rPr>
              <w:t xml:space="preserve">Средней чистоты</w:t>
            </w:r>
          </w:p>
        </w:tc>
        <w:tc>
          <w:tcPr>
            <w:tcW w:w="4422" w:type="dxa"/>
            <w:vAlign w:val="center"/>
            <w:tcBorders>
              <w:top w:val="nil"/>
              <w:bottom w:val="nil"/>
            </w:tcBorders>
          </w:tcPr>
          <w:p>
            <w:pPr>
              <w:pStyle w:val="0"/>
              <w:jc w:val="center"/>
            </w:pPr>
            <w:r>
              <w:rPr>
                <w:sz w:val="20"/>
              </w:rPr>
              <w:t xml:space="preserve">2,1 - 5,0</w:t>
            </w:r>
          </w:p>
        </w:tc>
      </w:tr>
      <w:tr>
        <w:tc>
          <w:tcPr>
            <w:tcW w:w="4648" w:type="dxa"/>
            <w:vAlign w:val="center"/>
            <w:tcBorders>
              <w:top w:val="nil"/>
              <w:bottom w:val="single" w:sz="4"/>
            </w:tcBorders>
          </w:tcPr>
          <w:p>
            <w:pPr>
              <w:pStyle w:val="0"/>
              <w:jc w:val="center"/>
            </w:pPr>
            <w:r>
              <w:rPr>
                <w:sz w:val="20"/>
              </w:rPr>
              <w:t xml:space="preserve">Сорное</w:t>
            </w:r>
          </w:p>
        </w:tc>
        <w:tc>
          <w:tcPr>
            <w:tcW w:w="4422" w:type="dxa"/>
            <w:vAlign w:val="center"/>
            <w:tcBorders>
              <w:top w:val="nil"/>
              <w:bottom w:val="single" w:sz="4"/>
            </w:tcBorders>
          </w:tcPr>
          <w:p>
            <w:pPr>
              <w:pStyle w:val="0"/>
              <w:jc w:val="center"/>
            </w:pPr>
            <w:r>
              <w:rPr>
                <w:sz w:val="20"/>
              </w:rPr>
              <w:t xml:space="preserve">5,1 и более</w:t>
            </w:r>
          </w:p>
        </w:tc>
      </w:tr>
    </w:tbl>
    <w:p>
      <w:pPr>
        <w:pStyle w:val="0"/>
        <w:ind w:firstLine="540"/>
        <w:jc w:val="both"/>
      </w:pPr>
      <w:r>
        <w:rPr>
          <w:sz w:val="20"/>
        </w:rPr>
      </w:r>
    </w:p>
    <w:p>
      <w:pPr>
        <w:pStyle w:val="0"/>
        <w:ind w:firstLine="540"/>
        <w:jc w:val="both"/>
      </w:pPr>
      <w:r>
        <w:rPr>
          <w:sz w:val="20"/>
        </w:rPr>
        <w:t xml:space="preserve">8.3 В процессе хранения проводят систематический контроль за качеством и состоянием зерна. Контролируют: температуру зерна, влажность, зараженность, цвет, запах и другие показатели согласно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8.4 Срок годности и условия хранения зерна устанавливает изготовитель согласно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4876"/>
        <w:gridCol w:w="3683"/>
      </w:tblGrid>
      <w:tr>
        <w:tc>
          <w:tcPr>
            <w:tcW w:w="510" w:type="dxa"/>
            <w:tcBorders>
              <w:top w:val="nil"/>
              <w:left w:val="nil"/>
              <w:bottom w:val="nil"/>
              <w:right w:val="nil"/>
            </w:tcBorders>
          </w:tcPr>
          <w:bookmarkStart w:id="316" w:name="P316"/>
          <w:bookmarkEnd w:id="316"/>
          <w:p>
            <w:pPr>
              <w:pStyle w:val="0"/>
            </w:pPr>
            <w:r>
              <w:rPr>
                <w:sz w:val="20"/>
              </w:rPr>
              <w:t xml:space="preserve">[1]</w:t>
            </w:r>
          </w:p>
        </w:tc>
        <w:tc>
          <w:tcPr>
            <w:tcW w:w="4876" w:type="dxa"/>
            <w:tcBorders>
              <w:top w:val="nil"/>
              <w:left w:val="nil"/>
              <w:bottom w:val="nil"/>
              <w:right w:val="nil"/>
            </w:tcBorders>
          </w:tcPr>
          <w:p>
            <w:pPr>
              <w:pStyle w:val="0"/>
            </w:pPr>
            <w:r>
              <w:rPr>
                <w:sz w:val="20"/>
              </w:rPr>
              <w:t xml:space="preserve">Технический регламент Таможенного союза </w:t>
            </w:r>
            <w:hyperlink w:history="0" r:id="rId117"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3683" w:type="dxa"/>
            <w:tcBorders>
              <w:top w:val="nil"/>
              <w:left w:val="nil"/>
              <w:bottom w:val="nil"/>
              <w:right w:val="nil"/>
            </w:tcBorders>
          </w:tcPr>
          <w:p>
            <w:pPr>
              <w:pStyle w:val="0"/>
            </w:pPr>
            <w:r>
              <w:rPr>
                <w:sz w:val="20"/>
              </w:rPr>
              <w:t xml:space="preserve">О безопасности зерна</w:t>
            </w:r>
          </w:p>
        </w:tc>
      </w:tr>
      <w:tr>
        <w:tc>
          <w:tcPr>
            <w:tcW w:w="510" w:type="dxa"/>
            <w:tcBorders>
              <w:top w:val="nil"/>
              <w:left w:val="nil"/>
              <w:bottom w:val="nil"/>
              <w:right w:val="nil"/>
            </w:tcBorders>
          </w:tcPr>
          <w:bookmarkStart w:id="319" w:name="P319"/>
          <w:bookmarkEnd w:id="319"/>
          <w:p>
            <w:pPr>
              <w:pStyle w:val="0"/>
            </w:pPr>
            <w:r>
              <w:rPr>
                <w:sz w:val="20"/>
              </w:rPr>
              <w:t xml:space="preserve">[2]</w:t>
            </w:r>
          </w:p>
        </w:tc>
        <w:tc>
          <w:tcPr>
            <w:tcW w:w="4876" w:type="dxa"/>
            <w:tcBorders>
              <w:top w:val="nil"/>
              <w:left w:val="nil"/>
              <w:bottom w:val="nil"/>
              <w:right w:val="nil"/>
            </w:tcBorders>
          </w:tcPr>
          <w:p>
            <w:pPr>
              <w:pStyle w:val="0"/>
            </w:pPr>
            <w:r>
              <w:rPr>
                <w:sz w:val="20"/>
              </w:rPr>
              <w:t xml:space="preserve">Технический регламент Евразийского экономического союза </w:t>
            </w:r>
            <w:hyperlink w:history="0" r:id="rId118" w:tooltip="Решение Совета Евразийской экономической комиссии от 05.12.2018 N 98 (ред. от 02.12.2021) &quot;О техническом регламенте Евразийского экономического союза &quot;О безопасности алкогольной продукции&quot; (вместе с &quot;ТР ЕАЭС 047/2018. Технический регламент Евразийского экономического союза &quot;О безопасности алкогольной продукции&quot;) {КонсультантПлюс}">
              <w:r>
                <w:rPr>
                  <w:sz w:val="20"/>
                  <w:color w:val="0000ff"/>
                </w:rPr>
                <w:t xml:space="preserve">ТР ЕАЭС 047/2018</w:t>
              </w:r>
            </w:hyperlink>
          </w:p>
        </w:tc>
        <w:tc>
          <w:tcPr>
            <w:tcW w:w="3683" w:type="dxa"/>
            <w:tcBorders>
              <w:top w:val="nil"/>
              <w:left w:val="nil"/>
              <w:bottom w:val="nil"/>
              <w:right w:val="nil"/>
            </w:tcBorders>
          </w:tcPr>
          <w:p>
            <w:pPr>
              <w:pStyle w:val="0"/>
            </w:pPr>
            <w:r>
              <w:rPr>
                <w:sz w:val="20"/>
              </w:rPr>
              <w:t xml:space="preserve">О безопасности алкогольной продукции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7427"/>
        <w:gridCol w:w="1643"/>
      </w:tblGrid>
      <w:tr>
        <w:tc>
          <w:tcPr>
            <w:tcW w:w="7427" w:type="dxa"/>
            <w:tcBorders>
              <w:top w:val="single" w:sz="4"/>
              <w:left w:val="nil"/>
              <w:bottom w:val="nil"/>
              <w:right w:val="nil"/>
            </w:tcBorders>
          </w:tcPr>
          <w:p>
            <w:pPr>
              <w:pStyle w:val="0"/>
            </w:pPr>
            <w:r>
              <w:rPr>
                <w:sz w:val="20"/>
              </w:rPr>
              <w:t xml:space="preserve">УДК 633.421:006.354</w:t>
            </w:r>
          </w:p>
        </w:tc>
        <w:tc>
          <w:tcPr>
            <w:tcW w:w="1643" w:type="dxa"/>
            <w:tcBorders>
              <w:top w:val="single" w:sz="4"/>
              <w:left w:val="nil"/>
              <w:bottom w:val="nil"/>
              <w:right w:val="nil"/>
            </w:tcBorders>
          </w:tcPr>
          <w:p>
            <w:pPr>
              <w:pStyle w:val="0"/>
            </w:pPr>
            <w:r>
              <w:rPr>
                <w:sz w:val="20"/>
              </w:rPr>
              <w:t xml:space="preserve">МКС </w:t>
            </w:r>
            <w:hyperlink w:history="0" r:id="rId119"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67.060</w:t>
              </w:r>
            </w:hyperlink>
          </w:p>
        </w:tc>
      </w:tr>
      <w:tr>
        <w:tc>
          <w:tcPr>
            <w:gridSpan w:val="2"/>
            <w:tcW w:w="9070" w:type="dxa"/>
            <w:vAlign w:val="bottom"/>
            <w:tcBorders>
              <w:top w:val="nil"/>
              <w:left w:val="nil"/>
              <w:bottom w:val="single" w:sz="4"/>
              <w:right w:val="nil"/>
            </w:tcBorders>
          </w:tcPr>
          <w:p>
            <w:pPr>
              <w:pStyle w:val="0"/>
              <w:jc w:val="both"/>
            </w:pPr>
            <w:r>
              <w:rPr>
                <w:sz w:val="20"/>
              </w:rPr>
              <w:t xml:space="preserve">Ключевые слова: ячмень пивоваренный</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5060-2021. Межгосударственный стандарт. Ячмень пивоваренный. Технические условия"</w:t>
            <w:br/>
            <w:t>(введен в действие Приказом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4E339E8C1CC46A10A493614390E73B395F137A5606022BE48F42ABADBB7F286EA0A7CE615051382EDC9A1BEAf7A1N" TargetMode = "External"/>
	<Relationship Id="rId8" Type="http://schemas.openxmlformats.org/officeDocument/2006/relationships/hyperlink" Target="consultantplus://offline/ref=A44E339E8C1CC46A10A493614390E73B3E5B157D5609022BE48F42ABADBB7F287CA0FFC2635B4E3027C9CC4AAC26EE1E5EB7C2E56E2355FDfAA2N" TargetMode = "External"/>
	<Relationship Id="rId9" Type="http://schemas.openxmlformats.org/officeDocument/2006/relationships/hyperlink" Target="consultantplus://offline/ref=A44E339E8C1CC46A10A493614390E73B395F137D5009022BE48F42ABADBB7F287CA0FFC263594F3929C9CC4AAC26EE1E5EB7C2E56E2355FDfAA2N" TargetMode = "External"/>
	<Relationship Id="rId10" Type="http://schemas.openxmlformats.org/officeDocument/2006/relationships/hyperlink" Target="consultantplus://offline/ref=A44E339E8C1CC46A10A490745A90E73B3C5E147F550B5F21ECD64EA9AAB4202D7BB1FFC16A474E3831C09819fEAAN" TargetMode = "External"/>
	<Relationship Id="rId11" Type="http://schemas.openxmlformats.org/officeDocument/2006/relationships/hyperlink" Target="consultantplus://offline/ref=A44E339E8C1CC46A10A490745A90E73B3F5D1D7A550B5F21ECD64EA9AAB4202D7BB1FFC16A474E3831C09819fEAAN" TargetMode = "External"/>
	<Relationship Id="rId12" Type="http://schemas.openxmlformats.org/officeDocument/2006/relationships/hyperlink" Target="consultantplus://offline/ref=A44E339E8C1CC46A10A493614390E73B395F137A5606022BE48F42ABADBB7F287CA0FFC263594F382CC9CC4AAC26EE1E5EB7C2E56E2355FDfAA2N" TargetMode = "External"/>
	<Relationship Id="rId13" Type="http://schemas.openxmlformats.org/officeDocument/2006/relationships/hyperlink" Target="consultantplus://offline/ref=A44E339E8C1CC46A10A490745A90E73B3859117F5F565529B5DA4CAEA5EB25386AE9F0CA7D584E272DC29Af1A9N" TargetMode = "External"/>
	<Relationship Id="rId14" Type="http://schemas.openxmlformats.org/officeDocument/2006/relationships/hyperlink" Target="consultantplus://offline/ref=A44E339E8C1CC46A10A48C744690E73B395C137F5F565529B5DA4CAEA5EB25386AE9F0CA7D584E272DC29Af1A9N" TargetMode = "External"/>
	<Relationship Id="rId15" Type="http://schemas.openxmlformats.org/officeDocument/2006/relationships/hyperlink" Target="consultantplus://offline/ref=A44E339E8C1CC46A10A48C744690E73B385913795F565529B5DA4CAEA5EB25386AE9F0CA7D584E272DC29Af1A9N" TargetMode = "External"/>
	<Relationship Id="rId16" Type="http://schemas.openxmlformats.org/officeDocument/2006/relationships/hyperlink" Target="consultantplus://offline/ref=A44E339E8C1CC46A10A48C744690E73B3E581075025C5D70B9D84BA1FAEE302932E6FBDD6258513B2FC0f9AAN" TargetMode = "External"/>
	<Relationship Id="rId17" Type="http://schemas.openxmlformats.org/officeDocument/2006/relationships/hyperlink" Target="consultantplus://offline/ref=A44E339E8C1CC46A10A48C744690E73B395E167E5F565529B5DA4CAEA5EB25386AE9F0CA7D584E272DC29Af1A9N" TargetMode = "External"/>
	<Relationship Id="rId18" Type="http://schemas.openxmlformats.org/officeDocument/2006/relationships/hyperlink" Target="consultantplus://offline/ref=A44E339E8C1CC46A10A48C744690E73B395E117F5F565529B5DA4CAEA5EB25386AE9F0CA7D584E272DC29Af1A9N" TargetMode = "External"/>
	<Relationship Id="rId19" Type="http://schemas.openxmlformats.org/officeDocument/2006/relationships/hyperlink" Target="consultantplus://offline/ref=A44E339E8C1CC46A10A490745A90E73B3A5D11775F565529B5DA4CAEA5EB25386AE9F0CA7D584E272DC29Af1A9N" TargetMode = "External"/>
	<Relationship Id="rId20" Type="http://schemas.openxmlformats.org/officeDocument/2006/relationships/hyperlink" Target="consultantplus://offline/ref=A44E339E8C1CC46A10A490745A90E73B3F5A107F520B5F21ECD64EA9AAB4202D7BB1FFC16A474E3831C09819fEAAN" TargetMode = "External"/>
	<Relationship Id="rId21" Type="http://schemas.openxmlformats.org/officeDocument/2006/relationships/hyperlink" Target="consultantplus://offline/ref=A44E339E8C1CC46A10A490745A90E73B395E17795F565529B5DA4CAEA5EB25386AE9F0CA7D584E272DC29Af1A9N" TargetMode = "External"/>
	<Relationship Id="rId22" Type="http://schemas.openxmlformats.org/officeDocument/2006/relationships/hyperlink" Target="consultantplus://offline/ref=A44E339E8C1CC46A10A490745A90E73B3A5C157B5F565529B5DA4CAEA5EB25386AE9F0CA7D584E272DC29Af1A9N" TargetMode = "External"/>
	<Relationship Id="rId23" Type="http://schemas.openxmlformats.org/officeDocument/2006/relationships/hyperlink" Target="consultantplus://offline/ref=A44E339E8C1CC46A10A490745A90E73B395D167A5F565529B5DA4CAEA5EB25386AE9F0CA7D584E272DC29Af1A9N" TargetMode = "External"/>
	<Relationship Id="rId24" Type="http://schemas.openxmlformats.org/officeDocument/2006/relationships/hyperlink" Target="consultantplus://offline/ref=94ACCFDDC987126F148FB3E43527DB327617C8F67EFC77A7FBD84188F81503B584969355A8C3D5B91B61E3F3g0A3N" TargetMode = "External"/>
	<Relationship Id="rId25" Type="http://schemas.openxmlformats.org/officeDocument/2006/relationships/hyperlink" Target="consultantplus://offline/ref=94ACCFDDC987126F148FB3E43527DB327512C9F07CFC77A7FBD84188F81503B584969355A8C3D5B91B61E3F3g0A3N" TargetMode = "External"/>
	<Relationship Id="rId26" Type="http://schemas.openxmlformats.org/officeDocument/2006/relationships/hyperlink" Target="consultantplus://offline/ref=94ACCFDDC987126F148FB3E43527DB327610C1F67DFC77A7FBD84188F81503B584969355A8C3D5B91B61E3F3g0A3N" TargetMode = "External"/>
	<Relationship Id="rId27" Type="http://schemas.openxmlformats.org/officeDocument/2006/relationships/hyperlink" Target="consultantplus://offline/ref=94ACCFDDC987126F148FB3E43527DB327711C2F47CFC77A7FBD84188F81503B584969355A8C3D5B91B61E3F3g0A3N" TargetMode = "External"/>
	<Relationship Id="rId28" Type="http://schemas.openxmlformats.org/officeDocument/2006/relationships/hyperlink" Target="consultantplus://offline/ref=94ACCFDDC987126F148FB3E43527DB327D10C3FB2EAB75F6AED64480A84F13B1CDC19749A0DCCABA0561gEA1N" TargetMode = "External"/>
	<Relationship Id="rId29" Type="http://schemas.openxmlformats.org/officeDocument/2006/relationships/hyperlink" Target="consultantplus://offline/ref=94ACCFDDC987126F148FB3E43527DB327514C8F679FC77A7FBD84188F81503B584969355A8C3D5B91B61E3F3g0A3N" TargetMode = "External"/>
	<Relationship Id="rId30" Type="http://schemas.openxmlformats.org/officeDocument/2006/relationships/hyperlink" Target="consultantplus://offline/ref=94ACCFDDC987126F148FB3E43527DB327117C7FB2EAB75F6AED64480A84F13B1CDC19749A0DCCABA0561gEA1N" TargetMode = "External"/>
	<Relationship Id="rId31" Type="http://schemas.openxmlformats.org/officeDocument/2006/relationships/hyperlink" Target="consultantplus://offline/ref=94ACCFDDC987126F148FB3E43527DB327511C5F87DFC77A7FBD84188F81503B584969355A8C3D5B91B61E3F3g0A3N" TargetMode = "External"/>
	<Relationship Id="rId32" Type="http://schemas.openxmlformats.org/officeDocument/2006/relationships/hyperlink" Target="consultantplus://offline/ref=94ACCFDDC987126F148FB3E43527DB327514C8F27FFC77A7FBD84188F81503B584969355A8C3D5B91B61E3F3g0A3N" TargetMode = "External"/>
	<Relationship Id="rId33" Type="http://schemas.openxmlformats.org/officeDocument/2006/relationships/hyperlink" Target="consultantplus://offline/ref=94ACCFDDC987126F148FB3E43527DB327514C9F579FC77A7FBD84188F81503B584969355A8C3D5B91B61E3F3g0A3N" TargetMode = "External"/>
	<Relationship Id="rId34" Type="http://schemas.openxmlformats.org/officeDocument/2006/relationships/hyperlink" Target="consultantplus://offline/ref=94ACCFDDC987126F148FB3E43527DB327016C1F273A17DAFA2D4438FF74A06A095CE9C5EBFDCD5A60763E1gFA3N" TargetMode = "External"/>
	<Relationship Id="rId35" Type="http://schemas.openxmlformats.org/officeDocument/2006/relationships/hyperlink" Target="consultantplus://offline/ref=94ACCFDDC987126F148FB3E43527DB327210C8F473A17DAFA2D4438FF74A06A095CE9C5EBFDCD5A60763E1gFA3N" TargetMode = "External"/>
	<Relationship Id="rId36" Type="http://schemas.openxmlformats.org/officeDocument/2006/relationships/hyperlink" Target="consultantplus://offline/ref=94ACCFDDC987126F148FB3E43527DB327117C0FB2EAB75F6AED64480A84F13B1CDC19749A0DCCABA0561gEA1N" TargetMode = "External"/>
	<Relationship Id="rId37" Type="http://schemas.openxmlformats.org/officeDocument/2006/relationships/hyperlink" Target="consultantplus://offline/ref=94ACCFDDC987126F148FB3E43527DB327513C1F273A17DAFA2D4438FF74A06A095CE9C5EBFDCD5A60763E1gFA3N" TargetMode = "External"/>
	<Relationship Id="rId38" Type="http://schemas.openxmlformats.org/officeDocument/2006/relationships/hyperlink" Target="consultantplus://offline/ref=94ACCFDDC987126F148FB3E43527DB327510C7F673A17DAFA2D4438FF74A06A095CE9C5EBFDCD5A60763E1gFA3N" TargetMode = "External"/>
	<Relationship Id="rId39" Type="http://schemas.openxmlformats.org/officeDocument/2006/relationships/hyperlink" Target="consultantplus://offline/ref=94ACCFDDC987126F148FB3E43527DB327C1AC9FB2EAB75F6AED64480A84F13B1CDC19749A0DCCABA0561gEA1N" TargetMode = "External"/>
	<Relationship Id="rId40" Type="http://schemas.openxmlformats.org/officeDocument/2006/relationships/hyperlink" Target="consultantplus://offline/ref=94ACCFDDC987126F148FB3E43527DB327613C2F273A17DAFA2D4438FF74A06A095CE9C5EBFDCD5A60763E1gFA3N" TargetMode = "External"/>
	<Relationship Id="rId41" Type="http://schemas.openxmlformats.org/officeDocument/2006/relationships/hyperlink" Target="consultantplus://offline/ref=94ACCFDDC987126F148FB3E43527DB327711C5F073A17DAFA2D4438FF74A06A095CE9C5EBFDCD5A60763E1gFA3N" TargetMode = "External"/>
	<Relationship Id="rId42" Type="http://schemas.openxmlformats.org/officeDocument/2006/relationships/hyperlink" Target="consultantplus://offline/ref=94ACCFDDC987126F148FB3E43527DB327711C5F173A17DAFA2D4438FF74A06A095CE9C5EBFDCD5A60763E1gFA3N" TargetMode = "External"/>
	<Relationship Id="rId43" Type="http://schemas.openxmlformats.org/officeDocument/2006/relationships/hyperlink" Target="consultantplus://offline/ref=94ACCFDDC987126F148FB3E43527DB327211C8F373A17DAFA2D4438FF74A06A095CE9C5EBFDCD5A60763E1gFA3N" TargetMode = "External"/>
	<Relationship Id="rId44" Type="http://schemas.openxmlformats.org/officeDocument/2006/relationships/hyperlink" Target="consultantplus://offline/ref=94ACCFDDC987126F148FB3E43527DB32751BC6FB2EAB75F6AED64480A84F13B1CDC19749A0DCCABA0561gEA1N" TargetMode = "External"/>
	<Relationship Id="rId45" Type="http://schemas.openxmlformats.org/officeDocument/2006/relationships/hyperlink" Target="consultantplus://offline/ref=94ACCFDDC987126F148FB3E43527DB327017C8F573A17DAFA2D4438FF74A06A095CE9C5EBFDCD5A60763E1gFA3N" TargetMode = "External"/>
	<Relationship Id="rId46" Type="http://schemas.openxmlformats.org/officeDocument/2006/relationships/hyperlink" Target="consultantplus://offline/ref=94ACCFDDC987126F148FB3E43527DB327017C9F373A17DAFA2D4438FF74A06A095CE9C5EBFDCD5A60763E1gFA3N" TargetMode = "External"/>
	<Relationship Id="rId47" Type="http://schemas.openxmlformats.org/officeDocument/2006/relationships/hyperlink" Target="consultantplus://offline/ref=94ACCFDDC987126F148FB3E43527DB327014C4F173A17DAFA2D4438FF74A06A095CE9C5EBFDCD5A60763E1gFA3N" TargetMode = "External"/>
	<Relationship Id="rId48" Type="http://schemas.openxmlformats.org/officeDocument/2006/relationships/hyperlink" Target="consultantplus://offline/ref=94ACCFDDC987126F148FB3E43527DB327014C4F773A17DAFA2D4438FF74A06A095CE9C5EBFDCD5A60763E1gFA3N" TargetMode = "External"/>
	<Relationship Id="rId49" Type="http://schemas.openxmlformats.org/officeDocument/2006/relationships/hyperlink" Target="consultantplus://offline/ref=94ACCFDDC987126F148FB3E43527DB327216C9F573A17DAFA2D4438FF74A06A095CE9C5EBFDCD5A60763E1gFA3N" TargetMode = "External"/>
	<Relationship Id="rId50" Type="http://schemas.openxmlformats.org/officeDocument/2006/relationships/hyperlink" Target="consultantplus://offline/ref=94ACCFDDC987126F148FB3E43527DB327216C9F673A17DAFA2D4438FF74A06A095CE9C5EBFDCD5A60763E1gFA3N" TargetMode = "External"/>
	<Relationship Id="rId51" Type="http://schemas.openxmlformats.org/officeDocument/2006/relationships/hyperlink" Target="consultantplus://offline/ref=94ACCFDDC987126F148FB3E43527DB327317C5F373A17DAFA2D4438FF74A06A095CE9C5EBFDCD5A60763E1gFA3N" TargetMode = "External"/>
	<Relationship Id="rId52" Type="http://schemas.openxmlformats.org/officeDocument/2006/relationships/hyperlink" Target="consultantplus://offline/ref=94ACCFDDC987126F148FB3E43527DB327515C5F27BFC77A7FBD84188F81503B584969355A8C3D5B91B61E3F3g0A3N" TargetMode = "External"/>
	<Relationship Id="rId53" Type="http://schemas.openxmlformats.org/officeDocument/2006/relationships/hyperlink" Target="consultantplus://offline/ref=94ACCFDDC987126F148FB3E43527DB327514C8F07DFC77A7FBD84188F81503B584969355A8C3D5B91B61E3F3g0A3N" TargetMode = "External"/>
	<Relationship Id="rId54" Type="http://schemas.openxmlformats.org/officeDocument/2006/relationships/hyperlink" Target="consultantplus://offline/ref=94ACCFDDC987126F148FB3E43527DB327713C5F27DFC77A7FBD84188F81503B584969355A8C3D5B91B61E3F3g0A3N" TargetMode = "External"/>
	<Relationship Id="rId55" Type="http://schemas.openxmlformats.org/officeDocument/2006/relationships/hyperlink" Target="consultantplus://offline/ref=94ACCFDDC987126F148FB3E43527DB327617C2F67AFC77A7FBD84188F81503B584969355A8C3D5B91B61E3F3g0A3N" TargetMode = "External"/>
	<Relationship Id="rId56" Type="http://schemas.openxmlformats.org/officeDocument/2006/relationships/hyperlink" Target="consultantplus://offline/ref=94ACCFDDC987126F148FB3E43527DB32751AC4F270FC77A7FBD84188F81503B584969355A8C3D5B91B61E3F3g0A3N" TargetMode = "External"/>
	<Relationship Id="rId57" Type="http://schemas.openxmlformats.org/officeDocument/2006/relationships/hyperlink" Target="consultantplus://offline/ref=94ACCFDDC987126F148FB3E43527DB327613C0F371FC77A7FBD84188F81503B584969355A8C3D5B91B61E3F3g0A3N" TargetMode = "External"/>
	<Relationship Id="rId58" Type="http://schemas.openxmlformats.org/officeDocument/2006/relationships/hyperlink" Target="consultantplus://offline/ref=94ACCFDDC987126F148FB3E43527DB327613C3F17CFC77A7FBD84188F81503B584969355A8C3D5B91B61E3F3g0A3N" TargetMode = "External"/>
	<Relationship Id="rId59" Type="http://schemas.openxmlformats.org/officeDocument/2006/relationships/hyperlink" Target="consultantplus://offline/ref=94ACCFDDC987126F148FB3E43527DB32751AC8F67BFC77A7FBD84188F81503B584969355A8C3D5B91B61E3F3g0A3N" TargetMode = "External"/>
	<Relationship Id="rId60" Type="http://schemas.openxmlformats.org/officeDocument/2006/relationships/hyperlink" Target="consultantplus://offline/ref=94ACCFDDC987126F148FB3E43527DB327711C2F273A17DAFA2D4438FF74A06A095CE9C5EBFDCD5A60763E1gFA3N" TargetMode = "External"/>
	<Relationship Id="rId61" Type="http://schemas.openxmlformats.org/officeDocument/2006/relationships/hyperlink" Target="consultantplus://offline/ref=94ACCFDDC987126F148FB3E43527DB327515C0F67FFC77A7FBD84188F81503B584969355A8C3D5B91B61E3F3g0A3N" TargetMode = "External"/>
	<Relationship Id="rId62" Type="http://schemas.openxmlformats.org/officeDocument/2006/relationships/hyperlink" Target="consultantplus://offline/ref=94ACCFDDC987126F148FB3E43527DB32751AC5F87BFC77A7FBD84188F81503B584969355A8C3D5B91B61E3F3g0A3N" TargetMode = "External"/>
	<Relationship Id="rId63" Type="http://schemas.openxmlformats.org/officeDocument/2006/relationships/hyperlink" Target="consultantplus://offline/ref=94ACCFDDC987126F148FB3E43527DB327016C1F273A17DAFA2D4438FF74A06A095CE9C5EBFDCD5A60763E1gFA3N" TargetMode = "External"/>
	<Relationship Id="rId64" Type="http://schemas.openxmlformats.org/officeDocument/2006/relationships/hyperlink" Target="consultantplus://offline/ref=94ACCFDDC987126F148FAFE42927DB327013C5F173A17DAFA2D4438FF74A06A095CE9C5EBFDCD5A60763E1gFA3N" TargetMode = "External"/>
	<Relationship Id="rId65" Type="http://schemas.openxmlformats.org/officeDocument/2006/relationships/hyperlink" Target="consultantplus://offline/ref=94ACCFDDC987126F148FAFE42927DB327011C7F173A17DAFA2D4438FF74A06A095CE9C5EBFDCD5A60763E1gFA3N" TargetMode = "External"/>
	<Relationship Id="rId66" Type="http://schemas.openxmlformats.org/officeDocument/2006/relationships/hyperlink" Target="consultantplus://offline/ref=94ACCFDDC987126F148FAFE42927DB327013C2F073A17DAFA2D4438FF74A06A095CE9C5EBFDCD5A60763E1gFA3N" TargetMode = "External"/>
	<Relationship Id="rId67" Type="http://schemas.openxmlformats.org/officeDocument/2006/relationships/hyperlink" Target="consultantplus://offline/ref=94ACCFDDC987126F148FAFE42927DB327715C4FB2EAB75F6AED64480A84F13B1CDC19749A0DCCABA0561gEA1N" TargetMode = "External"/>
	<Relationship Id="rId68" Type="http://schemas.openxmlformats.org/officeDocument/2006/relationships/hyperlink" Target="consultantplus://offline/ref=94ACCFDDC987126F148FAFE42927DB327114C7F773A17DAFA2D4438FF74A06A095CE9C5EBFDCD5A60763E1gFA3N" TargetMode = "External"/>
	<Relationship Id="rId69" Type="http://schemas.openxmlformats.org/officeDocument/2006/relationships/hyperlink" Target="consultantplus://offline/ref=94ACCFDDC987126F148FB3E43527DB327512C9F07CFC77A7FBD84188F81503B584969355A8C3D5B91B61E3F3g0A3N" TargetMode = "External"/>
	<Relationship Id="rId70" Type="http://schemas.openxmlformats.org/officeDocument/2006/relationships/hyperlink" Target="consultantplus://offline/ref=94ACCFDDC987126F148FB3E43527DB327310C5F973A17DAFA2D4438FF74A06A095CE9C5EBFDCD5A60763E1gFA3N" TargetMode = "External"/>
	<Relationship Id="rId71" Type="http://schemas.openxmlformats.org/officeDocument/2006/relationships/hyperlink" Target="consultantplus://offline/ref=94ACCFDDC987126F148FB3E43527DB327512C9F07CFC77A7FBD84188F81503B584969355A8C3D5B91B61E3F3g0A3N" TargetMode = "External"/>
	<Relationship Id="rId72" Type="http://schemas.openxmlformats.org/officeDocument/2006/relationships/hyperlink" Target="consultantplus://offline/ref=94ACCFDDC987126F148FB3E43527DB32751AC5F87BFC77A7FBD84188F81503B584969355A8C3D5B91B61E3F3g0A3N" TargetMode = "External"/>
	<Relationship Id="rId73" Type="http://schemas.openxmlformats.org/officeDocument/2006/relationships/hyperlink" Target="consultantplus://offline/ref=94ACCFDDC987126F148FB3E43527DB327617C4F17EFC77A7FBD84188F81503B584969355A8C3D5B91B61E3F3g0A3N" TargetMode = "External"/>
	<Relationship Id="rId74" Type="http://schemas.openxmlformats.org/officeDocument/2006/relationships/hyperlink" Target="consultantplus://offline/ref=94ACCFDDC987126F148FB3E43527DB327711C2F47CFC77A7FBD84188F81503B584969355A8C3D5B91B61E3F3g0A3N" TargetMode = "External"/>
	<Relationship Id="rId75" Type="http://schemas.openxmlformats.org/officeDocument/2006/relationships/hyperlink" Target="consultantplus://offline/ref=94ACCFDDC987126F148FB3E43527DB327513C1F273A17DAFA2D4438FF74A06A095CE9C5EBFDCD5A60763E1gFA3N" TargetMode = "External"/>
	<Relationship Id="rId76" Type="http://schemas.openxmlformats.org/officeDocument/2006/relationships/hyperlink" Target="consultantplus://offline/ref=94ACCFDDC987126F148FB3E43527DB327610C1F67DFC77A7FBD84188F81503B584969355A8C3D5B91B61E3F3g0A3N" TargetMode = "External"/>
	<Relationship Id="rId77" Type="http://schemas.openxmlformats.org/officeDocument/2006/relationships/hyperlink" Target="consultantplus://offline/ref=94ACCFDDC987126F148FB3E43527DB327D10C3FB2EAB75F6AED64480A84F13B1CDC19749A0DCCABA0561gEA1N" TargetMode = "External"/>
	<Relationship Id="rId78" Type="http://schemas.openxmlformats.org/officeDocument/2006/relationships/hyperlink" Target="consultantplus://offline/ref=94ACCFDDC987126F148FB3E43527DB32751AC4F270FC77A7FBD84188F81503B584969355A8C3D5B91B61E3F3g0A3N" TargetMode = "External"/>
	<Relationship Id="rId79" Type="http://schemas.openxmlformats.org/officeDocument/2006/relationships/hyperlink" Target="consultantplus://offline/ref=94ACCFDDC987126F148FB3E43527DB327311C1F573A17DAFA2D4438FF74A06A095CE9C5EBFDCD5A60763E1gFA3N" TargetMode = "External"/>
	<Relationship Id="rId80" Type="http://schemas.openxmlformats.org/officeDocument/2006/relationships/hyperlink" Target="consultantplus://offline/ref=94ACCFDDC987126F148FB3E43527DB327013C3F773A17DAFA2D4438FF74A06A095CE9C5EBFDCD5A60763E1gFA3N" TargetMode = "External"/>
	<Relationship Id="rId81" Type="http://schemas.openxmlformats.org/officeDocument/2006/relationships/hyperlink" Target="consultantplus://offline/ref=94ACCFDDC987126F148FB3E43527DB327310C5F973A17DAFA2D4438FF74A06A095CE9C5EBFDCD5A60763E1gFA3N" TargetMode = "External"/>
	<Relationship Id="rId82" Type="http://schemas.openxmlformats.org/officeDocument/2006/relationships/hyperlink" Target="consultantplus://offline/ref=94ACCFDDC987126F148FB3E43527DB327010C2F473A17DAFA2D4438FF74A06A095CE9C5EBFDCD5A60763E1gFA3N" TargetMode = "External"/>
	<Relationship Id="rId83" Type="http://schemas.openxmlformats.org/officeDocument/2006/relationships/hyperlink" Target="consultantplus://offline/ref=94ACCFDDC987126F148FB3E43527DB327117C7FB2EAB75F6AED64480A84F13B1CDC19749A0DCCABA0561gEA1N" TargetMode = "External"/>
	<Relationship Id="rId84" Type="http://schemas.openxmlformats.org/officeDocument/2006/relationships/hyperlink" Target="consultantplus://offline/ref=94ACCFDDC987126F148FB3E43527DB327017C8F573A17DAFA2D4438FF74A06A095CE9C5EBFDCD5A60763E1gFA3N" TargetMode = "External"/>
	<Relationship Id="rId85" Type="http://schemas.openxmlformats.org/officeDocument/2006/relationships/hyperlink" Target="consultantplus://offline/ref=94ACCFDDC987126F148FB3E43527DB327117C0FB2EAB75F6AED64480A84F13B1CDC19749A0DCCABA0561gEA1N" TargetMode = "External"/>
	<Relationship Id="rId86" Type="http://schemas.openxmlformats.org/officeDocument/2006/relationships/hyperlink" Target="consultantplus://offline/ref=94ACCFDDC987126F148FB3E43527DB327514C8F679FC77A7FBD84188F81503B584969355A8C3D5B91B61E3F3g0A3N" TargetMode = "External"/>
	<Relationship Id="rId87" Type="http://schemas.openxmlformats.org/officeDocument/2006/relationships/hyperlink" Target="consultantplus://offline/ref=94ACCFDDC987126F148FB3E43527DB327510C7F673A17DAFA2D4438FF74A06A095CE9C5EBFDCD5A60763E1gFA3N" TargetMode = "External"/>
	<Relationship Id="rId88" Type="http://schemas.openxmlformats.org/officeDocument/2006/relationships/hyperlink" Target="consultantplus://offline/ref=94ACCFDDC987126F148FB3E43527DB327211C8F373A17DAFA2D4438FF74A06A095CE9C5EBFDCD5A60763E1gFA3N" TargetMode = "External"/>
	<Relationship Id="rId89" Type="http://schemas.openxmlformats.org/officeDocument/2006/relationships/hyperlink" Target="consultantplus://offline/ref=94ACCFDDC987126F148FB3E43527DB327613C0F371FC77A7FBD84188F81503B584969355A8C3D5B91B61E3F3g0A3N" TargetMode = "External"/>
	<Relationship Id="rId90" Type="http://schemas.openxmlformats.org/officeDocument/2006/relationships/hyperlink" Target="consultantplus://offline/ref=94ACCFDDC987126F148FB3E43527DB327511C5F87DFC77A7FBD84188F81503B584969355A8C3D5B91B61E3F3g0A3N" TargetMode = "External"/>
	<Relationship Id="rId91" Type="http://schemas.openxmlformats.org/officeDocument/2006/relationships/hyperlink" Target="consultantplus://offline/ref=94ACCFDDC987126F148FB3E43527DB327014C4F173A17DAFA2D4438FF74A06A095CE9C5EBFDCD5A60763E1gFA3N" TargetMode = "External"/>
	<Relationship Id="rId92" Type="http://schemas.openxmlformats.org/officeDocument/2006/relationships/hyperlink" Target="consultantplus://offline/ref=94ACCFDDC987126F148FB3E43527DB327711C5F073A17DAFA2D4438FF74A06A095CE9C5EBFDCD5A60763E1gFA3N" TargetMode = "External"/>
	<Relationship Id="rId93" Type="http://schemas.openxmlformats.org/officeDocument/2006/relationships/hyperlink" Target="consultantplus://offline/ref=94ACCFDDC987126F148FB3E43527DB327510C7F673A17DAFA2D4438FF74A06A095CE9C5EBFDCD5A60763E1gFA3N" TargetMode = "External"/>
	<Relationship Id="rId94" Type="http://schemas.openxmlformats.org/officeDocument/2006/relationships/hyperlink" Target="consultantplus://offline/ref=94ACCFDDC987126F148FB3E43527DB327514C8F27FFC77A7FBD84188F81503B584969355A8C3D5B91B61E3F3g0A3N" TargetMode = "External"/>
	<Relationship Id="rId95" Type="http://schemas.openxmlformats.org/officeDocument/2006/relationships/hyperlink" Target="consultantplus://offline/ref=94ACCFDDC987126F148FB3E43527DB327117C0FB2EAB75F6AED64480A84F13B1CDC19749A0DCCABA0561gEA1N" TargetMode = "External"/>
	<Relationship Id="rId96" Type="http://schemas.openxmlformats.org/officeDocument/2006/relationships/hyperlink" Target="consultantplus://offline/ref=94ACCFDDC987126F148FB3E43527DB327510C7F673A17DAFA2D4438FF74A06A095CE9C5EBFDCD5A60763E1gFA3N" TargetMode = "External"/>
	<Relationship Id="rId97" Type="http://schemas.openxmlformats.org/officeDocument/2006/relationships/hyperlink" Target="consultantplus://offline/ref=94ACCFDDC987126F148FB3E43527DB32751AC8F67BFC77A7FBD84188F81503B584969355A8C3D5B91B61E3F3g0A3N" TargetMode = "External"/>
	<Relationship Id="rId98" Type="http://schemas.openxmlformats.org/officeDocument/2006/relationships/hyperlink" Target="consultantplus://offline/ref=94ACCFDDC987126F148FB3E43527DB327514C9F579FC77A7FBD84188F81503B584969355A8C3D5B91B61E3F3g0A3N" TargetMode = "External"/>
	<Relationship Id="rId99" Type="http://schemas.openxmlformats.org/officeDocument/2006/relationships/hyperlink" Target="consultantplus://offline/ref=94ACCFDDC987126F148FB3E43527DB327117C0FB2EAB75F6AED64480A84F13B1CDC19749A0DCCABA0561gEA1N" TargetMode = "External"/>
	<Relationship Id="rId100" Type="http://schemas.openxmlformats.org/officeDocument/2006/relationships/hyperlink" Target="consultantplus://offline/ref=94ACCFDDC987126F148FB3E43527DB327510C7F673A17DAFA2D4438FF74A06A095CE9C5EBFDCD5A60763E1gFA3N" TargetMode = "External"/>
	<Relationship Id="rId101" Type="http://schemas.openxmlformats.org/officeDocument/2006/relationships/hyperlink" Target="consultantplus://offline/ref=94ACCFDDC987126F148FB3E43527DB32751AC8F67BFC77A7FBD84188F81503B584969355A8C3D5B91B61E3F3g0A3N" TargetMode = "External"/>
	<Relationship Id="rId102" Type="http://schemas.openxmlformats.org/officeDocument/2006/relationships/hyperlink" Target="consultantplus://offline/ref=94ACCFDDC987126F148FB3E43527DB327617C8F67EFC77A7FBD84188F81503B584969355A8C3D5B91B61E3F3g0A3N" TargetMode = "External"/>
	<Relationship Id="rId103" Type="http://schemas.openxmlformats.org/officeDocument/2006/relationships/hyperlink" Target="consultantplus://offline/ref=94ACCFDDC987126F148FB3E43527DB327613C2F273A17DAFA2D4438FF74A06A095CE9C5EBFDCD5A60763E1gFA3N" TargetMode = "External"/>
	<Relationship Id="rId104" Type="http://schemas.openxmlformats.org/officeDocument/2006/relationships/hyperlink" Target="consultantplus://offline/ref=94ACCFDDC987126F148FB3E43527DB32751BC6FB2EAB75F6AED64480A84F13B1CDC19749A0DCCABA0561gEA1N" TargetMode = "External"/>
	<Relationship Id="rId105" Type="http://schemas.openxmlformats.org/officeDocument/2006/relationships/hyperlink" Target="consultantplus://offline/ref=94ACCFDDC987126F148FB3E43527DB327514C8F07DFC77A7FBD84188F81503B584969355A8C3D5B91B61E3F3g0A3N" TargetMode = "External"/>
	<Relationship Id="rId106" Type="http://schemas.openxmlformats.org/officeDocument/2006/relationships/hyperlink" Target="consultantplus://offline/ref=94ACCFDDC987126F148FB3E43527DB327713C5F27DFC77A7FBD84188F81503B584969355A8C3D5B91B61E3F3g0A3N" TargetMode = "External"/>
	<Relationship Id="rId107" Type="http://schemas.openxmlformats.org/officeDocument/2006/relationships/hyperlink" Target="consultantplus://offline/ref=94ACCFDDC987126F148FB3E43527DB327617C2F67AFC77A7FBD84188F81503B584969355A8C3D5B91B61E3F3g0A3N" TargetMode = "External"/>
	<Relationship Id="rId108" Type="http://schemas.openxmlformats.org/officeDocument/2006/relationships/hyperlink" Target="consultantplus://offline/ref=94ACCFDDC987126F148FB3E43527DB327C1AC9FB2EAB75F6AED64480A84F13B1CDC19749A0DCCABA0561gEA1N" TargetMode = "External"/>
	<Relationship Id="rId109" Type="http://schemas.openxmlformats.org/officeDocument/2006/relationships/hyperlink" Target="consultantplus://offline/ref=94ACCFDDC987126F148FB3E43527DB327014C4F773A17DAFA2D4438FF74A06A095CE9C5EBFDCD5A60763E1gFA3N" TargetMode = "External"/>
	<Relationship Id="rId110" Type="http://schemas.openxmlformats.org/officeDocument/2006/relationships/hyperlink" Target="consultantplus://offline/ref=94ACCFDDC987126F148FB3E43527DB327210C8F473A17DAFA2D4438FF74A06A095CE9C5EBFDCD5A60763E1gFA3N" TargetMode = "External"/>
	<Relationship Id="rId111" Type="http://schemas.openxmlformats.org/officeDocument/2006/relationships/hyperlink" Target="consultantplus://offline/ref=94ACCFDDC987126F148FB3E43527DB327017C9F373A17DAFA2D4438FF74A06A095CE9C5EBFDCD5A60763E1gFA3N" TargetMode = "External"/>
	<Relationship Id="rId112" Type="http://schemas.openxmlformats.org/officeDocument/2006/relationships/hyperlink" Target="consultantplus://offline/ref=94ACCFDDC987126F148FB3E43527DB327515C5F27BFC77A7FBD84188F81503B584969355A8C3D5B91B61E3F3g0A3N" TargetMode = "External"/>
	<Relationship Id="rId113" Type="http://schemas.openxmlformats.org/officeDocument/2006/relationships/hyperlink" Target="consultantplus://offline/ref=94ACCFDDC987126F148FB3E43527DB327210C8F473A17DAFA2D4438FF74A06A095CE9C5EBFDCD5A60763E1gFA3N" TargetMode = "External"/>
	<Relationship Id="rId114" Type="http://schemas.openxmlformats.org/officeDocument/2006/relationships/hyperlink" Target="consultantplus://offline/ref=94ACCFDDC987126F148FB3E43527DB327317C5F373A17DAFA2D4438FF74A06A095CE9C5EBFDCD5A60763E1gFA3N" TargetMode = "External"/>
	<Relationship Id="rId115" Type="http://schemas.openxmlformats.org/officeDocument/2006/relationships/hyperlink" Target="consultantplus://offline/ref=94ACCFDDC987126F148FB3E43527DB327216C9F573A17DAFA2D4438FF74A06A095CE9C5EBFDCD5A60763E1gFA3N" TargetMode = "External"/>
	<Relationship Id="rId116" Type="http://schemas.openxmlformats.org/officeDocument/2006/relationships/hyperlink" Target="consultantplus://offline/ref=94ACCFDDC987126F148FB3E43527DB327216C9F673A17DAFA2D4438FF74A06A095CE9C5EBFDCD5A60763E1gFA3N" TargetMode = "External"/>
	<Relationship Id="rId117" Type="http://schemas.openxmlformats.org/officeDocument/2006/relationships/hyperlink" Target="consultantplus://offline/ref=94ACCFDDC987126F148FB0F12C27DB32761AC8F07DF42AADF3814D8AFF1A5CB083879356A1DDD4BA0268B7A045E980941963A210F9D24E76g3A3N" TargetMode = "External"/>
	<Relationship Id="rId118" Type="http://schemas.openxmlformats.org/officeDocument/2006/relationships/hyperlink" Target="consultantplus://offline/ref=94ACCFDDC987126F148FB0F12C27DB327012C2F370F62AADF3814D8AFF1A5CB083879356A1DDD4B90068B7A045E980941963A210F9D24E76g3A3N" TargetMode = "External"/>
	<Relationship Id="rId119" Type="http://schemas.openxmlformats.org/officeDocument/2006/relationships/hyperlink" Target="consultantplus://offline/ref=94ACCFDDC987126F148FB0F12C27DB327716C1F37AFE2AADF3814D8AFF1A5CB083879356A1DFD5B10D68B7A045E980941963A210F9D24E76g3A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5060-2021. Межгосударственный стандарт. Ячмень пивоваренный. Технические условия"
(введен в действие Приказом Росстандарта от 06.12.2021 N 1714-ст)</dc:title>
  <dcterms:created xsi:type="dcterms:W3CDTF">2022-11-29T13:00:30Z</dcterms:created>
</cp:coreProperties>
</file>