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7169-2017. Межгосударственный стандарт. Отруби пшеничные. Технические условия"</w:t>
              <w:br/>
              <w:t xml:space="preserve">(введен в действие Приказом Росстандарта от 31.10.2017 N 1602-ст)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31.10.2017 N 1602-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w:t>
      </w:r>
    </w:p>
    <w:p>
      <w:pPr>
        <w:pStyle w:val="0"/>
        <w:jc w:val="right"/>
      </w:pPr>
      <w:r>
        <w:rPr>
          <w:sz w:val="20"/>
        </w:rPr>
        <w:t xml:space="preserve">агентства по техническому</w:t>
      </w:r>
    </w:p>
    <w:p>
      <w:pPr>
        <w:pStyle w:val="0"/>
        <w:jc w:val="right"/>
      </w:pPr>
      <w:r>
        <w:rPr>
          <w:sz w:val="20"/>
        </w:rPr>
        <w:t xml:space="preserve">регулированию и метрологии</w:t>
      </w:r>
    </w:p>
    <w:p>
      <w:pPr>
        <w:pStyle w:val="0"/>
        <w:jc w:val="right"/>
      </w:pPr>
      <w:r>
        <w:rPr>
          <w:sz w:val="20"/>
        </w:rPr>
        <w:t xml:space="preserve">от 31 октября 2017 г. N 1602-ст</w:t>
      </w:r>
    </w:p>
    <w:p>
      <w:pPr>
        <w:pStyle w:val="0"/>
        <w:ind w:firstLine="540"/>
        <w:jc w:val="both"/>
      </w:pPr>
      <w:r>
        <w:rPr>
          <w:sz w:val="20"/>
        </w:rPr>
      </w:r>
    </w:p>
    <w:p>
      <w:pPr>
        <w:pStyle w:val="2"/>
        <w:jc w:val="center"/>
      </w:pPr>
      <w:r>
        <w:rPr>
          <w:sz w:val="20"/>
        </w:rPr>
        <w:t xml:space="preserve">МЕЖГОСУДАРСТВЕННЫЙ СТАНДАРТ</w:t>
      </w:r>
    </w:p>
    <w:p>
      <w:pPr>
        <w:pStyle w:val="2"/>
        <w:jc w:val="center"/>
      </w:pPr>
      <w:r>
        <w:rPr>
          <w:sz w:val="20"/>
        </w:rPr>
      </w:r>
    </w:p>
    <w:p>
      <w:pPr>
        <w:pStyle w:val="2"/>
        <w:jc w:val="center"/>
      </w:pPr>
      <w:r>
        <w:rPr>
          <w:sz w:val="20"/>
        </w:rPr>
        <w:t xml:space="preserve">ОТРУБИ ПШЕНИЧНЫЕ</w:t>
      </w:r>
    </w:p>
    <w:p>
      <w:pPr>
        <w:pStyle w:val="2"/>
        <w:jc w:val="center"/>
      </w:pPr>
      <w:r>
        <w:rPr>
          <w:sz w:val="20"/>
        </w:rPr>
      </w:r>
    </w:p>
    <w:p>
      <w:pPr>
        <w:pStyle w:val="2"/>
        <w:jc w:val="center"/>
      </w:pPr>
      <w:r>
        <w:rPr>
          <w:sz w:val="20"/>
        </w:rPr>
        <w:t xml:space="preserve">ТЕХНИЧЕСКИЕ УСЛОВИЯ</w:t>
      </w:r>
    </w:p>
    <w:p>
      <w:pPr>
        <w:pStyle w:val="2"/>
        <w:jc w:val="center"/>
      </w:pPr>
      <w:r>
        <w:rPr>
          <w:sz w:val="20"/>
        </w:rPr>
      </w:r>
    </w:p>
    <w:p>
      <w:pPr>
        <w:pStyle w:val="2"/>
        <w:jc w:val="center"/>
      </w:pPr>
      <w:r>
        <w:rPr>
          <w:sz w:val="20"/>
        </w:rPr>
        <w:t xml:space="preserve">Wheat bran. Specifications</w:t>
      </w:r>
    </w:p>
    <w:p>
      <w:pPr>
        <w:pStyle w:val="2"/>
        <w:jc w:val="center"/>
      </w:pPr>
      <w:r>
        <w:rPr>
          <w:sz w:val="20"/>
        </w:rPr>
      </w:r>
    </w:p>
    <w:p>
      <w:pPr>
        <w:pStyle w:val="2"/>
        <w:jc w:val="center"/>
      </w:pPr>
      <w:r>
        <w:rPr>
          <w:sz w:val="20"/>
        </w:rPr>
        <w:t xml:space="preserve">ГОСТ 7169-2017</w:t>
      </w:r>
    </w:p>
    <w:p>
      <w:pPr>
        <w:pStyle w:val="0"/>
        <w:ind w:firstLine="540"/>
        <w:jc w:val="both"/>
      </w:pPr>
      <w:r>
        <w:rPr>
          <w:sz w:val="20"/>
        </w:rPr>
      </w:r>
    </w:p>
    <w:p>
      <w:pPr>
        <w:pStyle w:val="0"/>
        <w:jc w:val="right"/>
      </w:pPr>
      <w:r>
        <w:rPr>
          <w:sz w:val="20"/>
        </w:rPr>
        <w:t xml:space="preserve">МКС 67.060</w:t>
      </w:r>
    </w:p>
    <w:p>
      <w:pPr>
        <w:pStyle w:val="0"/>
        <w:jc w:val="right"/>
      </w:pPr>
      <w:r>
        <w:rPr>
          <w:sz w:val="20"/>
        </w:rPr>
      </w:r>
    </w:p>
    <w:p>
      <w:pPr>
        <w:pStyle w:val="0"/>
        <w:jc w:val="right"/>
      </w:pPr>
      <w:r>
        <w:rPr>
          <w:sz w:val="20"/>
        </w:rPr>
        <w:t xml:space="preserve">Дата введения</w:t>
      </w:r>
    </w:p>
    <w:p>
      <w:pPr>
        <w:pStyle w:val="0"/>
        <w:jc w:val="right"/>
      </w:pPr>
      <w:r>
        <w:rPr>
          <w:sz w:val="20"/>
        </w:rPr>
        <w:t xml:space="preserve">1 января 2019 года</w:t>
      </w:r>
    </w:p>
    <w:p>
      <w:pPr>
        <w:pStyle w:val="0"/>
        <w:ind w:firstLine="540"/>
        <w:jc w:val="both"/>
      </w:pPr>
      <w:r>
        <w:rPr>
          <w:sz w:val="20"/>
        </w:rPr>
      </w:r>
    </w:p>
    <w:p>
      <w:pPr>
        <w:pStyle w:val="0"/>
        <w:outlineLvl w:val="1"/>
        <w:jc w:val="center"/>
      </w:pPr>
      <w:r>
        <w:rPr>
          <w:sz w:val="20"/>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основной порядок проведения работ по межгосударственной стандартизации установлены в </w:t>
      </w:r>
      <w:hyperlink w:history="0" r:id="rId8"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1.0-2015</w:t>
        </w:r>
      </w:hyperlink>
      <w:r>
        <w:rPr>
          <w:sz w:val="20"/>
        </w:rPr>
        <w:t xml:space="preserve"> "Межгосударственная система стандартизации. Основные положения" и </w:t>
      </w:r>
      <w:hyperlink w:history="0" r:id="rId9"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1.2-2015</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0"/>
        <w:outlineLvl w:val="1"/>
        <w:ind w:firstLine="540"/>
        <w:jc w:val="both"/>
      </w:pPr>
      <w:r>
        <w:rPr>
          <w:sz w:val="20"/>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Федеральным государственным бюджетным научным учреждением "Всероссийский научно-исследовательский институт зерна и продуктов его переработки" (ФГБНУ "ВНИИЗ")</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30 августа 2017 г. N 102-П)</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08"/>
        <w:gridCol w:w="1928"/>
        <w:gridCol w:w="4535"/>
      </w:tblGrid>
      <w:tr>
        <w:tblPrEx>
          <w:tblBorders>
            <w:insideH w:val="single" w:sz="4"/>
          </w:tblBorders>
        </w:tblPrEx>
        <w:tc>
          <w:tcPr>
            <w:tcW w:w="2608"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928" w:type="dxa"/>
            <w:vAlign w:val="center"/>
            <w:tcBorders>
              <w:top w:val="single" w:sz="4"/>
              <w:bottom w:val="single" w:sz="4"/>
            </w:tcBorders>
          </w:tcPr>
          <w:p>
            <w:pPr>
              <w:pStyle w:val="0"/>
              <w:jc w:val="center"/>
            </w:pPr>
            <w:r>
              <w:rPr>
                <w:sz w:val="20"/>
              </w:rPr>
              <w:t xml:space="preserve">Код страны по МК (ИСО 3166) 004-97</w:t>
            </w:r>
          </w:p>
        </w:tc>
        <w:tc>
          <w:tcPr>
            <w:tcW w:w="4535"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608" w:type="dxa"/>
            <w:tcBorders>
              <w:top w:val="single" w:sz="4"/>
              <w:bottom w:val="nil"/>
            </w:tcBorders>
          </w:tcPr>
          <w:p>
            <w:pPr>
              <w:pStyle w:val="0"/>
              <w:ind w:firstLine="283"/>
            </w:pPr>
            <w:r>
              <w:rPr>
                <w:sz w:val="20"/>
              </w:rPr>
              <w:t xml:space="preserve">Армения</w:t>
            </w:r>
          </w:p>
        </w:tc>
        <w:tc>
          <w:tcPr>
            <w:tcW w:w="1928" w:type="dxa"/>
            <w:tcBorders>
              <w:top w:val="single" w:sz="4"/>
              <w:bottom w:val="nil"/>
            </w:tcBorders>
          </w:tcPr>
          <w:p>
            <w:pPr>
              <w:pStyle w:val="0"/>
              <w:jc w:val="center"/>
            </w:pPr>
            <w:r>
              <w:rPr>
                <w:sz w:val="20"/>
              </w:rPr>
              <w:t xml:space="preserve">AM</w:t>
            </w:r>
          </w:p>
        </w:tc>
        <w:tc>
          <w:tcPr>
            <w:tcW w:w="4535" w:type="dxa"/>
            <w:tcBorders>
              <w:top w:val="single" w:sz="4"/>
              <w:bottom w:val="nil"/>
            </w:tcBorders>
          </w:tcPr>
          <w:p>
            <w:pPr>
              <w:pStyle w:val="0"/>
              <w:ind w:firstLine="283"/>
            </w:pPr>
            <w:r>
              <w:rPr>
                <w:sz w:val="20"/>
              </w:rPr>
              <w:t xml:space="preserve">Минэкономики Республики Армения</w:t>
            </w:r>
          </w:p>
        </w:tc>
      </w:tr>
      <w:tr>
        <w:tc>
          <w:tcPr>
            <w:tcW w:w="2608" w:type="dxa"/>
            <w:tcBorders>
              <w:top w:val="nil"/>
              <w:bottom w:val="nil"/>
            </w:tcBorders>
          </w:tcPr>
          <w:p>
            <w:pPr>
              <w:pStyle w:val="0"/>
              <w:ind w:firstLine="283"/>
            </w:pPr>
            <w:r>
              <w:rPr>
                <w:sz w:val="20"/>
              </w:rPr>
              <w:t xml:space="preserve">Беларусь</w:t>
            </w:r>
          </w:p>
        </w:tc>
        <w:tc>
          <w:tcPr>
            <w:tcW w:w="1928" w:type="dxa"/>
            <w:tcBorders>
              <w:top w:val="nil"/>
              <w:bottom w:val="nil"/>
            </w:tcBorders>
          </w:tcPr>
          <w:p>
            <w:pPr>
              <w:pStyle w:val="0"/>
              <w:jc w:val="center"/>
            </w:pPr>
            <w:r>
              <w:rPr>
                <w:sz w:val="20"/>
              </w:rPr>
              <w:t xml:space="preserve">BY</w:t>
            </w:r>
          </w:p>
        </w:tc>
        <w:tc>
          <w:tcPr>
            <w:tcW w:w="4535" w:type="dxa"/>
            <w:tcBorders>
              <w:top w:val="nil"/>
              <w:bottom w:val="nil"/>
            </w:tcBorders>
          </w:tcPr>
          <w:p>
            <w:pPr>
              <w:pStyle w:val="0"/>
              <w:ind w:firstLine="283"/>
            </w:pPr>
            <w:r>
              <w:rPr>
                <w:sz w:val="20"/>
              </w:rPr>
              <w:t xml:space="preserve">Госстандарт Республики Беларусь</w:t>
            </w:r>
          </w:p>
        </w:tc>
      </w:tr>
      <w:tr>
        <w:tc>
          <w:tcPr>
            <w:tcW w:w="2608" w:type="dxa"/>
            <w:tcBorders>
              <w:top w:val="nil"/>
              <w:bottom w:val="nil"/>
            </w:tcBorders>
          </w:tcPr>
          <w:p>
            <w:pPr>
              <w:pStyle w:val="0"/>
              <w:ind w:firstLine="283"/>
            </w:pPr>
            <w:r>
              <w:rPr>
                <w:sz w:val="20"/>
              </w:rPr>
              <w:t xml:space="preserve">Киргизия</w:t>
            </w:r>
          </w:p>
        </w:tc>
        <w:tc>
          <w:tcPr>
            <w:tcW w:w="1928" w:type="dxa"/>
            <w:tcBorders>
              <w:top w:val="nil"/>
              <w:bottom w:val="nil"/>
            </w:tcBorders>
          </w:tcPr>
          <w:p>
            <w:pPr>
              <w:pStyle w:val="0"/>
              <w:jc w:val="center"/>
            </w:pPr>
            <w:r>
              <w:rPr>
                <w:sz w:val="20"/>
              </w:rPr>
              <w:t xml:space="preserve">KG</w:t>
            </w:r>
          </w:p>
        </w:tc>
        <w:tc>
          <w:tcPr>
            <w:tcW w:w="4535" w:type="dxa"/>
            <w:tcBorders>
              <w:top w:val="nil"/>
              <w:bottom w:val="nil"/>
            </w:tcBorders>
          </w:tcPr>
          <w:p>
            <w:pPr>
              <w:pStyle w:val="0"/>
              <w:ind w:firstLine="283"/>
            </w:pPr>
            <w:r>
              <w:rPr>
                <w:sz w:val="20"/>
              </w:rPr>
              <w:t xml:space="preserve">Кыргызстандарт</w:t>
            </w:r>
          </w:p>
        </w:tc>
      </w:tr>
      <w:tr>
        <w:tc>
          <w:tcPr>
            <w:tcW w:w="2608" w:type="dxa"/>
            <w:tcBorders>
              <w:top w:val="nil"/>
              <w:bottom w:val="single" w:sz="4"/>
            </w:tcBorders>
          </w:tcPr>
          <w:p>
            <w:pPr>
              <w:pStyle w:val="0"/>
              <w:ind w:firstLine="283"/>
            </w:pPr>
            <w:r>
              <w:rPr>
                <w:sz w:val="20"/>
              </w:rPr>
              <w:t xml:space="preserve">Россия</w:t>
            </w:r>
          </w:p>
        </w:tc>
        <w:tc>
          <w:tcPr>
            <w:tcW w:w="1928" w:type="dxa"/>
            <w:tcBorders>
              <w:top w:val="nil"/>
              <w:bottom w:val="single" w:sz="4"/>
            </w:tcBorders>
          </w:tcPr>
          <w:p>
            <w:pPr>
              <w:pStyle w:val="0"/>
              <w:jc w:val="center"/>
            </w:pPr>
            <w:r>
              <w:rPr>
                <w:sz w:val="20"/>
              </w:rPr>
              <w:t xml:space="preserve">RU</w:t>
            </w:r>
          </w:p>
        </w:tc>
        <w:tc>
          <w:tcPr>
            <w:tcW w:w="4535" w:type="dxa"/>
            <w:tcBorders>
              <w:top w:val="nil"/>
              <w:bottom w:val="single" w:sz="4"/>
            </w:tcBorders>
          </w:tcPr>
          <w:p>
            <w:pPr>
              <w:pStyle w:val="0"/>
              <w:ind w:firstLine="283"/>
            </w:pPr>
            <w:r>
              <w:rPr>
                <w:sz w:val="20"/>
              </w:rPr>
              <w:t xml:space="preserve">Росстандарт</w:t>
            </w:r>
          </w:p>
        </w:tc>
      </w:tr>
    </w:tbl>
    <w:p>
      <w:pPr>
        <w:pStyle w:val="0"/>
        <w:ind w:firstLine="540"/>
        <w:jc w:val="both"/>
      </w:pPr>
      <w:r>
        <w:rPr>
          <w:sz w:val="20"/>
        </w:rPr>
      </w:r>
    </w:p>
    <w:p>
      <w:pPr>
        <w:pStyle w:val="0"/>
        <w:ind w:firstLine="540"/>
        <w:jc w:val="both"/>
      </w:pPr>
      <w:r>
        <w:rPr>
          <w:sz w:val="20"/>
        </w:rPr>
        <w:t xml:space="preserve">4 </w:t>
      </w:r>
      <w:hyperlink w:history="0" r:id="rId10" w:tooltip="Приказ Росстандарта от 31.10.2017 N 1602-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 октября 2017 г. N 1602-ст межгосударственный стандарт ГОСТ 7169-2017 введен в действие в качестве национального стандарта Российской Федерации с 1 января 2019 г.</w:t>
      </w:r>
    </w:p>
    <w:p>
      <w:pPr>
        <w:pStyle w:val="0"/>
        <w:spacing w:before="200" w:line-rule="auto"/>
        <w:ind w:firstLine="540"/>
        <w:jc w:val="both"/>
      </w:pPr>
      <w:r>
        <w:rPr>
          <w:sz w:val="20"/>
        </w:rPr>
        <w:t xml:space="preserve">5 ВЗАМЕН </w:t>
      </w:r>
      <w:hyperlink w:history="0" r:id="rId11" w:tooltip="&quot;ГОСТ 7169-66. Государственный стандарт Союза ССР. Отруби пшеничные. Технические условия&quot; (утв. и введен в действие Постановлением Госстандарта СССР от 09.04.1966) (ред. от 01.10.1992) ------------ Утратил силу или отменен {КонсультантПлюс}">
        <w:r>
          <w:rPr>
            <w:sz w:val="20"/>
            <w:color w:val="0000ff"/>
          </w:rPr>
          <w:t xml:space="preserve">ГОСТ 7169-66</w:t>
        </w:r>
      </w:hyperlink>
    </w:p>
    <w:p>
      <w:pPr>
        <w:pStyle w:val="0"/>
        <w:ind w:firstLine="540"/>
        <w:jc w:val="both"/>
      </w:pPr>
      <w:r>
        <w:rPr>
          <w:sz w:val="20"/>
        </w:rPr>
      </w:r>
    </w:p>
    <w:p>
      <w:pPr>
        <w:pStyle w:val="0"/>
        <w:ind w:firstLine="540"/>
        <w:jc w:val="both"/>
      </w:pPr>
      <w:r>
        <w:rPr>
          <w:sz w:val="20"/>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sz w:val="20"/>
        </w:rPr>
        <w:t xml:space="preserve">www.gost.ru</w:t>
      </w:r>
      <w:r>
        <w:rPr>
          <w:sz w:val="20"/>
        </w:rPr>
        <w:t xml:space="preserve">).</w:t>
      </w:r>
    </w:p>
    <w:p>
      <w:pPr>
        <w:pStyle w:val="0"/>
        <w:ind w:firstLine="540"/>
        <w:jc w:val="both"/>
      </w:pPr>
      <w:r>
        <w:rPr>
          <w:sz w:val="20"/>
        </w:rPr>
      </w:r>
    </w:p>
    <w:p>
      <w:pPr>
        <w:pStyle w:val="0"/>
        <w:outlineLvl w:val="1"/>
        <w:ind w:firstLine="540"/>
        <w:jc w:val="both"/>
      </w:pPr>
      <w:r>
        <w:rPr>
          <w:sz w:val="20"/>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пшеничные отруби, получаемые в качестве побочного продукта при переработке зерна пшеницы в муку.</w:t>
      </w:r>
    </w:p>
    <w:p>
      <w:pPr>
        <w:pStyle w:val="0"/>
        <w:ind w:firstLine="540"/>
        <w:jc w:val="both"/>
      </w:pPr>
      <w:r>
        <w:rPr>
          <w:sz w:val="20"/>
        </w:rPr>
      </w:r>
    </w:p>
    <w:p>
      <w:pPr>
        <w:pStyle w:val="0"/>
        <w:outlineLvl w:val="1"/>
        <w:ind w:firstLine="540"/>
        <w:jc w:val="both"/>
      </w:pPr>
      <w:r>
        <w:rPr>
          <w:sz w:val="20"/>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2"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8.579-2002</w:t>
        </w:r>
      </w:hyperlink>
      <w:r>
        <w:rPr>
          <w:sz w:val="20"/>
        </w:rPr>
        <w:t xml:space="preserve">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pPr>
        <w:pStyle w:val="0"/>
        <w:spacing w:before="200" w:line-rule="auto"/>
        <w:ind w:firstLine="540"/>
        <w:jc w:val="both"/>
      </w:pPr>
      <w:hyperlink w:history="0" r:id="rId13" w:tooltip="Ссылка на КонсультантПлюс">
        <w:r>
          <w:rPr>
            <w:sz w:val="20"/>
            <w:color w:val="0000ff"/>
          </w:rPr>
          <w:t xml:space="preserve">ГОСТ 12.1.004-91</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4" w:tooltip="Ссылка на КонсультантПлюс">
        <w:r>
          <w:rPr>
            <w:sz w:val="20"/>
            <w:color w:val="0000ff"/>
          </w:rPr>
          <w:t xml:space="preserve">ГОСТ 12.1.005-88</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5" w:tooltip="Ссылка на КонсультантПлюс">
        <w:r>
          <w:rPr>
            <w:sz w:val="20"/>
            <w:color w:val="0000ff"/>
          </w:rPr>
          <w:t xml:space="preserve">ГОСТ 12.2.003-91</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6" w:tooltip="Ссылка на КонсультантПлюс">
        <w:r>
          <w:rPr>
            <w:sz w:val="20"/>
            <w:color w:val="0000ff"/>
          </w:rPr>
          <w:t xml:space="preserve">ГОСТ 12.4.009-83</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7" w:tooltip="Ссылка на КонсультантПлюс">
        <w:r>
          <w:rPr>
            <w:sz w:val="20"/>
            <w:color w:val="0000ff"/>
          </w:rPr>
          <w:t xml:space="preserve">ГОСТ 12.4.021-75</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8" w:tooltip="&quot;ГОСТ 9353-2016. Межгосударственный стандарт. Пшеница. Технические условия&quot; (введен в действие Приказом Росстандарта от 15.09.2016 N 1133-ст) {КонсультантПлюс}">
        <w:r>
          <w:rPr>
            <w:sz w:val="20"/>
            <w:color w:val="0000ff"/>
          </w:rPr>
          <w:t xml:space="preserve">ГОСТ 9353-2016</w:t>
        </w:r>
      </w:hyperlink>
      <w:r>
        <w:rPr>
          <w:sz w:val="20"/>
        </w:rPr>
        <w:t xml:space="preserve"> Пшеница. Технические условия</w:t>
      </w:r>
    </w:p>
    <w:p>
      <w:pPr>
        <w:pStyle w:val="0"/>
        <w:spacing w:before="200" w:line-rule="auto"/>
        <w:ind w:firstLine="540"/>
        <w:jc w:val="both"/>
      </w:pPr>
      <w:hyperlink w:history="0" r:id="rId19" w:tooltip="&quot;ГОСТ 9404-88. Межгосударственный стандарт. Мука и отруби. Метод определения влажности&quot; (утв. и введен в действие Постановлением Госстандарта СССР от 23.11.1988 N 3785) (ред. от 01.10.1989) {КонсультантПлюс}">
        <w:r>
          <w:rPr>
            <w:sz w:val="20"/>
            <w:color w:val="0000ff"/>
          </w:rPr>
          <w:t xml:space="preserve">ГОСТ 9404-88</w:t>
        </w:r>
      </w:hyperlink>
      <w:r>
        <w:rPr>
          <w:sz w:val="20"/>
        </w:rPr>
        <w:t xml:space="preserve"> Мука и отруби. Метод определения влажности</w:t>
      </w:r>
    </w:p>
    <w:p>
      <w:pPr>
        <w:pStyle w:val="0"/>
        <w:spacing w:before="200" w:line-rule="auto"/>
        <w:ind w:firstLine="540"/>
        <w:jc w:val="both"/>
      </w:pPr>
      <w:hyperlink w:history="0" r:id="rId20"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13496.20-2014</w:t>
        </w:r>
      </w:hyperlink>
      <w:r>
        <w:rPr>
          <w:sz w:val="20"/>
        </w:rPr>
        <w:t xml:space="preserve"> Корма,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21"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13586.3-2015</w:t>
        </w:r>
      </w:hyperlink>
      <w:r>
        <w:rPr>
          <w:sz w:val="20"/>
        </w:rPr>
        <w:t xml:space="preserve"> Зерно. Правила приемки и методы отбора проб</w:t>
      </w:r>
    </w:p>
    <w:p>
      <w:pPr>
        <w:pStyle w:val="0"/>
        <w:spacing w:before="200" w:line-rule="auto"/>
        <w:ind w:firstLine="540"/>
        <w:jc w:val="both"/>
      </w:pPr>
      <w:hyperlink w:history="0" r:id="rId22" w:tooltip="Ссылка на КонсультантПлюс">
        <w:r>
          <w:rPr>
            <w:sz w:val="20"/>
            <w:color w:val="0000ff"/>
          </w:rPr>
          <w:t xml:space="preserve">ГОСТ 14192-96</w:t>
        </w:r>
      </w:hyperlink>
      <w:r>
        <w:rPr>
          <w:sz w:val="20"/>
        </w:rPr>
        <w:t xml:space="preserve"> Маркировка грузов</w:t>
      </w:r>
    </w:p>
    <w:p>
      <w:pPr>
        <w:pStyle w:val="0"/>
        <w:spacing w:before="200" w:line-rule="auto"/>
        <w:ind w:firstLine="540"/>
        <w:jc w:val="both"/>
      </w:pPr>
      <w:hyperlink w:history="0" r:id="rId23"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15846-2002</w:t>
        </w:r>
      </w:hyperlink>
      <w:r>
        <w:rPr>
          <w:sz w:val="20"/>
        </w:rPr>
        <w:t xml:space="preserve"> Продукция, отправляемая в районы Крайнего Севера и приравненные к ним местности. Упаковка, маркировка, транспортирование и хранение</w:t>
      </w:r>
    </w:p>
    <w:p>
      <w:pPr>
        <w:pStyle w:val="0"/>
        <w:spacing w:before="200" w:line-rule="auto"/>
        <w:ind w:firstLine="540"/>
        <w:jc w:val="both"/>
      </w:pPr>
      <w:hyperlink w:history="0" r:id="rId24"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20239-74</w:t>
        </w:r>
      </w:hyperlink>
      <w:r>
        <w:rPr>
          <w:sz w:val="20"/>
        </w:rPr>
        <w:t xml:space="preserve"> Мука, крупа и отруби. Метод определения металломагнитной примеси</w:t>
      </w:r>
    </w:p>
    <w:p>
      <w:pPr>
        <w:pStyle w:val="0"/>
        <w:spacing w:before="200" w:line-rule="auto"/>
        <w:ind w:firstLine="540"/>
        <w:jc w:val="both"/>
      </w:pPr>
      <w:hyperlink w:history="0" r:id="rId25" w:tooltip="&quot;ГОСТ 26791-89. Межгосударственный стандарт. Продукты переработки зерна. Упаковка, маркировка, транспортирование и хранение&quot; (утв. и введен в действие Постановлением Госстандарта СССР от 06.07.1989 N 2341) (ред. от 01.12.1991) ------------ Утратил силу или отменен {КонсультантПлюс}">
        <w:r>
          <w:rPr>
            <w:sz w:val="20"/>
            <w:color w:val="0000ff"/>
          </w:rPr>
          <w:t xml:space="preserve">ГОСТ 26791-89</w:t>
        </w:r>
      </w:hyperlink>
      <w:r>
        <w:rPr>
          <w:sz w:val="20"/>
        </w:rPr>
        <w:t xml:space="preserve"> Продукты переработки зерна. Упаковка, маркировка, транспортирование и хранение</w:t>
      </w:r>
    </w:p>
    <w:p>
      <w:pPr>
        <w:pStyle w:val="0"/>
        <w:spacing w:before="200" w:line-rule="auto"/>
        <w:ind w:firstLine="540"/>
        <w:jc w:val="both"/>
      </w:pPr>
      <w:hyperlink w:history="0" r:id="rId26"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26927-86</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27"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26929-94</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28"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26930-86</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29"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26932-86</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30"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26933-86</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31"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2" w:tooltip="&quot;ГОСТ 27558-87. Межгосударственный стандарт. Мука и отруби. Методы определения цвета, запаха, вкуса и хруста&quot; (утв. и введен в действие Постановлением Госстандарта СССР от 24.12.1987 N 4993) (ред. от 01.10.1989) {КонсультантПлюс}">
        <w:r>
          <w:rPr>
            <w:sz w:val="20"/>
            <w:color w:val="0000ff"/>
          </w:rPr>
          <w:t xml:space="preserve">ГОСТ 27558-87</w:t>
        </w:r>
      </w:hyperlink>
      <w:r>
        <w:rPr>
          <w:sz w:val="20"/>
        </w:rPr>
        <w:t xml:space="preserve"> Мука и отруби. Методы определения цвета, запаха, вкуса и хруста</w:t>
      </w:r>
    </w:p>
    <w:p>
      <w:pPr>
        <w:pStyle w:val="0"/>
        <w:spacing w:before="200" w:line-rule="auto"/>
        <w:ind w:firstLine="540"/>
        <w:jc w:val="both"/>
      </w:pPr>
      <w:hyperlink w:history="0" r:id="rId33" w:tooltip="&quot;ГОСТ 27559-87. Межгосударственный стандарт. Мука и отруби. Метод определения зараженности и загрязненности вредителями хлебных запасов&quot; (утв. и введен в действие Постановлением Госстандарта СССР от 24.12.1987 N 4994) (ред. от 01.10.1989) {КонсультантПлюс}">
        <w:r>
          <w:rPr>
            <w:sz w:val="20"/>
            <w:color w:val="0000ff"/>
          </w:rPr>
          <w:t xml:space="preserve">ГОСТ 27559-87</w:t>
        </w:r>
      </w:hyperlink>
      <w:r>
        <w:rPr>
          <w:sz w:val="20"/>
        </w:rPr>
        <w:t xml:space="preserve"> Мука и отруби. Метод определения зараженности и загрязненности вредителями хлебных запасов</w:t>
      </w:r>
    </w:p>
    <w:p>
      <w:pPr>
        <w:pStyle w:val="0"/>
        <w:spacing w:before="200" w:line-rule="auto"/>
        <w:ind w:firstLine="540"/>
        <w:jc w:val="both"/>
      </w:pPr>
      <w:hyperlink w:history="0" r:id="rId34" w:tooltip="&quot;ГОСТ 27668-88. Государственный стандарт Союза ССР. Мука и отруби. Приемка и методы отбора проб&quot; (утв. и введен в действие Постановлением Госстандарта СССР от 30.03.1988 N 921) (ред. от 15.02.1995) {КонсультантПлюс}">
        <w:r>
          <w:rPr>
            <w:sz w:val="20"/>
            <w:color w:val="0000ff"/>
          </w:rPr>
          <w:t xml:space="preserve">ГОСТ 27668-88</w:t>
        </w:r>
      </w:hyperlink>
      <w:r>
        <w:rPr>
          <w:sz w:val="20"/>
        </w:rPr>
        <w:t xml:space="preserve"> Мука и отруби. Приемка и методы отбора проб</w:t>
      </w:r>
    </w:p>
    <w:p>
      <w:pPr>
        <w:pStyle w:val="0"/>
        <w:spacing w:before="200" w:line-rule="auto"/>
        <w:ind w:firstLine="540"/>
        <w:jc w:val="both"/>
      </w:pPr>
      <w:hyperlink w:history="0" r:id="rId35"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28001-88</w:t>
        </w:r>
      </w:hyperlink>
      <w:r>
        <w:rPr>
          <w:sz w:val="20"/>
        </w:rPr>
        <w:t xml:space="preserve"> Зерно фуражное, продукты его переработки, комбикорма. Методы определения микотоксинов: Т-2 токсина, зеараленона (Ф-2) и охратоксина A</w:t>
      </w:r>
    </w:p>
    <w:p>
      <w:pPr>
        <w:pStyle w:val="0"/>
        <w:spacing w:before="200" w:line-rule="auto"/>
        <w:ind w:firstLine="540"/>
        <w:jc w:val="both"/>
      </w:pPr>
      <w:hyperlink w:history="0" r:id="rId36"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30178-96</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37"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30483-97</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38"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30538-97</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39"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30711-2001</w:t>
        </w:r>
      </w:hyperlink>
      <w:r>
        <w:rPr>
          <w:sz w:val="20"/>
        </w:rPr>
        <w:t xml:space="preserve"> Продукты пищевые. Методы выявления и определения содержания афлатоксинов B</w:t>
      </w:r>
      <w:r>
        <w:rPr>
          <w:sz w:val="20"/>
          <w:vertAlign w:val="subscript"/>
        </w:rPr>
        <w:t xml:space="preserve">1</w:t>
      </w:r>
      <w:r>
        <w:rPr>
          <w:sz w:val="20"/>
        </w:rPr>
        <w:t xml:space="preserve"> и M</w:t>
      </w:r>
      <w:r>
        <w:rPr>
          <w:sz w:val="20"/>
          <w:vertAlign w:val="subscript"/>
        </w:rPr>
        <w:t xml:space="preserve">1</w:t>
      </w:r>
    </w:p>
    <w:p>
      <w:pPr>
        <w:pStyle w:val="0"/>
        <w:spacing w:before="200" w:line-rule="auto"/>
        <w:ind w:firstLine="540"/>
        <w:jc w:val="both"/>
      </w:pPr>
      <w:hyperlink w:history="0" r:id="rId40"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31481-2012</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41"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31628-2012</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42"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31653-2012</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3"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31671-2012</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4"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31691-2012</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5"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31707-2012</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46"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31748-2012</w:t>
        </w:r>
      </w:hyperlink>
      <w:r>
        <w:rPr>
          <w:sz w:val="20"/>
        </w:rPr>
        <w:t xml:space="preserve"> (ISO 16050:2003) Продукты пищевые. Определение афлатоксина B</w:t>
      </w:r>
      <w:r>
        <w:rPr>
          <w:sz w:val="20"/>
          <w:vertAlign w:val="subscript"/>
        </w:rPr>
        <w:t xml:space="preserve">1</w:t>
      </w:r>
      <w:r>
        <w:rPr>
          <w:sz w:val="20"/>
        </w:rPr>
        <w:t xml:space="preserve"> и общего содержания афлатоксинов B</w:t>
      </w:r>
      <w:r>
        <w:rPr>
          <w:sz w:val="20"/>
          <w:vertAlign w:val="subscript"/>
        </w:rPr>
        <w:t xml:space="preserve">1</w:t>
      </w:r>
      <w:r>
        <w:rPr>
          <w:sz w:val="20"/>
        </w:rPr>
        <w:t xml:space="preserve">, B</w:t>
      </w:r>
      <w:r>
        <w:rPr>
          <w:sz w:val="20"/>
          <w:vertAlign w:val="subscript"/>
        </w:rPr>
        <w:t xml:space="preserve">2</w:t>
      </w:r>
      <w:r>
        <w:rPr>
          <w:sz w:val="20"/>
        </w:rPr>
        <w:t xml:space="preserve">, G</w:t>
      </w:r>
      <w:r>
        <w:rPr>
          <w:sz w:val="20"/>
          <w:vertAlign w:val="subscript"/>
        </w:rPr>
        <w:t xml:space="preserve">1</w:t>
      </w:r>
      <w:r>
        <w:rPr>
          <w:sz w:val="20"/>
        </w:rPr>
        <w:t xml:space="preserve"> и G</w:t>
      </w:r>
      <w:r>
        <w:rPr>
          <w:sz w:val="20"/>
          <w:vertAlign w:val="subscript"/>
        </w:rPr>
        <w:t xml:space="preserve">2</w:t>
      </w:r>
      <w:r>
        <w:rPr>
          <w:sz w:val="20"/>
        </w:rPr>
        <w:t xml:space="preserve">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47"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32161-2013</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48"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32163-2013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49"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32164-2013</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50"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32587-2013</w:t>
        </w:r>
      </w:hyperlink>
      <w:r>
        <w:rPr>
          <w:sz w:val="20"/>
        </w:rPr>
        <w:t xml:space="preserve"> Зерно и продукты его переработки, комбикорма. Определение охратоксина A методом высокоэффективной жидкостной хроматографии</w:t>
      </w:r>
    </w:p>
    <w:p>
      <w:pPr>
        <w:pStyle w:val="0"/>
        <w:spacing w:before="200" w:line-rule="auto"/>
        <w:ind w:firstLine="540"/>
        <w:jc w:val="both"/>
      </w:pPr>
      <w:hyperlink w:history="0" r:id="rId51"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32689.2-2014</w:t>
        </w:r>
      </w:hyperlink>
      <w:r>
        <w:rPr>
          <w:sz w:val="20"/>
        </w:rPr>
        <w:t xml:space="preserve">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w:t>
      </w:r>
    </w:p>
    <w:p>
      <w:pPr>
        <w:pStyle w:val="0"/>
        <w:spacing w:before="200" w:line-rule="auto"/>
        <w:ind w:firstLine="540"/>
        <w:jc w:val="both"/>
      </w:pPr>
      <w:r>
        <w:rPr>
          <w:sz w:val="20"/>
        </w:rPr>
        <w:t xml:space="preserve">ГОСТ EN 15891-2013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0"/>
        <w:outlineLvl w:val="1"/>
        <w:ind w:firstLine="540"/>
        <w:jc w:val="both"/>
      </w:pPr>
      <w:r>
        <w:rPr>
          <w:sz w:val="20"/>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52"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w:t>
      </w:r>
      <w:hyperlink w:history="0" w:anchor="P223" w:tooltip="[1]">
        <w:r>
          <w:rPr>
            <w:sz w:val="20"/>
            <w:color w:val="0000ff"/>
          </w:rPr>
          <w:t xml:space="preserve">[1]</w:t>
        </w:r>
      </w:hyperlink>
      <w:r>
        <w:rPr>
          <w:sz w:val="20"/>
        </w:rPr>
        <w:t xml:space="preserve"> и </w:t>
      </w:r>
      <w:hyperlink w:history="0" w:anchor="P225" w:tooltip="[2]">
        <w:r>
          <w:rPr>
            <w:sz w:val="20"/>
            <w:color w:val="0000ff"/>
          </w:rPr>
          <w:t xml:space="preserve">[2]</w:t>
        </w:r>
      </w:hyperlink>
      <w:r>
        <w:rPr>
          <w:sz w:val="20"/>
        </w:rPr>
        <w:t xml:space="preserve">.</w:t>
      </w:r>
    </w:p>
    <w:p>
      <w:pPr>
        <w:pStyle w:val="0"/>
        <w:ind w:firstLine="540"/>
        <w:jc w:val="both"/>
      </w:pPr>
      <w:r>
        <w:rPr>
          <w:sz w:val="20"/>
        </w:rPr>
      </w:r>
    </w:p>
    <w:p>
      <w:pPr>
        <w:pStyle w:val="0"/>
        <w:outlineLvl w:val="1"/>
        <w:ind w:firstLine="540"/>
        <w:jc w:val="both"/>
      </w:pPr>
      <w:r>
        <w:rPr>
          <w:sz w:val="20"/>
        </w:rPr>
        <w:t xml:space="preserve">4. Технические требования</w:t>
      </w:r>
    </w:p>
    <w:p>
      <w:pPr>
        <w:pStyle w:val="0"/>
        <w:ind w:firstLine="540"/>
        <w:jc w:val="both"/>
      </w:pPr>
      <w:r>
        <w:rPr>
          <w:sz w:val="20"/>
        </w:rPr>
      </w:r>
    </w:p>
    <w:p>
      <w:pPr>
        <w:pStyle w:val="0"/>
        <w:ind w:firstLine="540"/>
        <w:jc w:val="both"/>
      </w:pPr>
      <w:r>
        <w:rPr>
          <w:sz w:val="20"/>
        </w:rPr>
        <w:t xml:space="preserve">4.1 Пшеничные отруби должны соответствовать требованиям настоящего стандарта и вырабатываться по технологическим правилам в соответствии с </w:t>
      </w:r>
      <w:hyperlink w:history="0" w:anchor="P227" w:tooltip="[3]">
        <w:r>
          <w:rPr>
            <w:sz w:val="20"/>
            <w:color w:val="0000ff"/>
          </w:rPr>
          <w:t xml:space="preserve">[3]</w:t>
        </w:r>
      </w:hyperlink>
      <w:r>
        <w:rPr>
          <w:sz w:val="20"/>
        </w:rPr>
        <w:t xml:space="preserve">, с соблюдением требований, установленных </w:t>
      </w:r>
      <w:hyperlink w:history="0" w:anchor="P223" w:tooltip="[1]">
        <w:r>
          <w:rPr>
            <w:sz w:val="20"/>
            <w:color w:val="0000ff"/>
          </w:rPr>
          <w:t xml:space="preserve">[1]</w:t>
        </w:r>
      </w:hyperlink>
      <w:r>
        <w:rPr>
          <w:sz w:val="20"/>
        </w:rPr>
        <w:t xml:space="preserve">, или нормативными правовыми актами, действующими на территории государств, принявших стандарт.</w:t>
      </w:r>
    </w:p>
    <w:p>
      <w:pPr>
        <w:pStyle w:val="0"/>
        <w:spacing w:before="200" w:line-rule="auto"/>
        <w:ind w:firstLine="540"/>
        <w:jc w:val="both"/>
      </w:pPr>
      <w:r>
        <w:rPr>
          <w:sz w:val="20"/>
        </w:rPr>
        <w:t xml:space="preserve">4.2 По органолептическим и физико-химическим показателям пшеничные отруби должны соответствовать требованиям, указанным в таблице 1.</w:t>
      </w:r>
    </w:p>
    <w:p>
      <w:pPr>
        <w:pStyle w:val="0"/>
        <w:ind w:firstLine="540"/>
        <w:jc w:val="both"/>
      </w:pPr>
      <w:r>
        <w:rPr>
          <w:sz w:val="20"/>
        </w:rPr>
      </w:r>
    </w:p>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vAlign w:val="center"/>
          </w:tcPr>
          <w:p>
            <w:pPr>
              <w:pStyle w:val="0"/>
              <w:jc w:val="center"/>
            </w:pPr>
            <w:r>
              <w:rPr>
                <w:sz w:val="20"/>
              </w:rPr>
              <w:t xml:space="preserve">Наименование показателя</w:t>
            </w:r>
          </w:p>
        </w:tc>
        <w:tc>
          <w:tcPr>
            <w:tcW w:w="4592" w:type="dxa"/>
            <w:vAlign w:val="center"/>
          </w:tcPr>
          <w:p>
            <w:pPr>
              <w:pStyle w:val="0"/>
              <w:jc w:val="center"/>
            </w:pPr>
            <w:r>
              <w:rPr>
                <w:sz w:val="20"/>
              </w:rPr>
              <w:t xml:space="preserve">Характеристика и значение для отрубей пшеничных</w:t>
            </w:r>
          </w:p>
        </w:tc>
      </w:tr>
      <w:tr>
        <w:tc>
          <w:tcPr>
            <w:tcW w:w="4479" w:type="dxa"/>
          </w:tcPr>
          <w:p>
            <w:pPr>
              <w:pStyle w:val="0"/>
              <w:jc w:val="both"/>
            </w:pPr>
            <w:r>
              <w:rPr>
                <w:sz w:val="20"/>
              </w:rPr>
              <w:t xml:space="preserve">Цвет</w:t>
            </w:r>
          </w:p>
        </w:tc>
        <w:tc>
          <w:tcPr>
            <w:tcW w:w="4592" w:type="dxa"/>
          </w:tcPr>
          <w:p>
            <w:pPr>
              <w:pStyle w:val="0"/>
              <w:jc w:val="both"/>
            </w:pPr>
            <w:r>
              <w:rPr>
                <w:sz w:val="20"/>
              </w:rPr>
              <w:t xml:space="preserve">Красно-желтый с сероватым оттенком</w:t>
            </w:r>
          </w:p>
        </w:tc>
      </w:tr>
      <w:tr>
        <w:tc>
          <w:tcPr>
            <w:tcW w:w="4479" w:type="dxa"/>
          </w:tcPr>
          <w:p>
            <w:pPr>
              <w:pStyle w:val="0"/>
              <w:jc w:val="both"/>
            </w:pPr>
            <w:r>
              <w:rPr>
                <w:sz w:val="20"/>
              </w:rPr>
              <w:t xml:space="preserve">Запах</w:t>
            </w:r>
          </w:p>
        </w:tc>
        <w:tc>
          <w:tcPr>
            <w:tcW w:w="4592" w:type="dxa"/>
          </w:tcPr>
          <w:p>
            <w:pPr>
              <w:pStyle w:val="0"/>
              <w:jc w:val="both"/>
            </w:pPr>
            <w:r>
              <w:rPr>
                <w:sz w:val="20"/>
              </w:rPr>
              <w:t xml:space="preserve">Свойственный отрубям, без посторонних запахов, не затхлый, не плесневый</w:t>
            </w:r>
          </w:p>
        </w:tc>
      </w:tr>
      <w:tr>
        <w:tc>
          <w:tcPr>
            <w:tcW w:w="4479" w:type="dxa"/>
          </w:tcPr>
          <w:p>
            <w:pPr>
              <w:pStyle w:val="0"/>
              <w:jc w:val="both"/>
            </w:pPr>
            <w:r>
              <w:rPr>
                <w:sz w:val="20"/>
              </w:rPr>
              <w:t xml:space="preserve">Вкус</w:t>
            </w:r>
          </w:p>
        </w:tc>
        <w:tc>
          <w:tcPr>
            <w:tcW w:w="4592" w:type="dxa"/>
          </w:tcPr>
          <w:p>
            <w:pPr>
              <w:pStyle w:val="0"/>
              <w:jc w:val="both"/>
            </w:pPr>
            <w:r>
              <w:rPr>
                <w:sz w:val="20"/>
              </w:rPr>
              <w:t xml:space="preserve">Свойственный отрубям, без посторонних привкусов, не кислый, не горький</w:t>
            </w:r>
          </w:p>
        </w:tc>
      </w:tr>
      <w:tr>
        <w:tc>
          <w:tcPr>
            <w:tcW w:w="4479" w:type="dxa"/>
          </w:tcPr>
          <w:p>
            <w:pPr>
              <w:pStyle w:val="0"/>
              <w:jc w:val="both"/>
            </w:pPr>
            <w:r>
              <w:rPr>
                <w:sz w:val="20"/>
              </w:rPr>
              <w:t xml:space="preserve">Наличие минеральной примеси</w:t>
            </w:r>
          </w:p>
        </w:tc>
        <w:tc>
          <w:tcPr>
            <w:tcW w:w="4592" w:type="dxa"/>
          </w:tcPr>
          <w:p>
            <w:pPr>
              <w:pStyle w:val="0"/>
              <w:jc w:val="both"/>
            </w:pPr>
            <w:r>
              <w:rPr>
                <w:sz w:val="20"/>
              </w:rPr>
              <w:t xml:space="preserve">При разжевывании отрубей не должно ощущаться хруста</w:t>
            </w:r>
          </w:p>
        </w:tc>
      </w:tr>
      <w:tr>
        <w:tc>
          <w:tcPr>
            <w:tcW w:w="4479" w:type="dxa"/>
          </w:tcPr>
          <w:p>
            <w:pPr>
              <w:pStyle w:val="0"/>
              <w:jc w:val="both"/>
            </w:pPr>
            <w:r>
              <w:rPr>
                <w:sz w:val="20"/>
              </w:rPr>
              <w:t xml:space="preserve">Влажность, %, не более</w:t>
            </w:r>
          </w:p>
        </w:tc>
        <w:tc>
          <w:tcPr>
            <w:tcW w:w="4592" w:type="dxa"/>
          </w:tcPr>
          <w:p>
            <w:pPr>
              <w:pStyle w:val="0"/>
              <w:jc w:val="center"/>
            </w:pPr>
            <w:r>
              <w:rPr>
                <w:sz w:val="20"/>
              </w:rPr>
              <w:t xml:space="preserve">15,0</w:t>
            </w:r>
          </w:p>
        </w:tc>
      </w:tr>
      <w:tr>
        <w:tblPrEx>
          <w:tblBorders>
            <w:insideH w:val="nil"/>
          </w:tblBorders>
        </w:tblPrEx>
        <w:tc>
          <w:tcPr>
            <w:tcW w:w="4479" w:type="dxa"/>
            <w:tcBorders>
              <w:bottom w:val="nil"/>
            </w:tcBorders>
          </w:tcPr>
          <w:p>
            <w:pPr>
              <w:pStyle w:val="0"/>
              <w:jc w:val="both"/>
            </w:pPr>
            <w:r>
              <w:rPr>
                <w:sz w:val="20"/>
              </w:rPr>
              <w:t xml:space="preserve">Металломагнитная примесь, мг на 1 кг отрубей, не более:</w:t>
            </w:r>
          </w:p>
        </w:tc>
        <w:tc>
          <w:tcPr>
            <w:tcW w:w="4592" w:type="dxa"/>
            <w:tcBorders>
              <w:bottom w:val="nil"/>
            </w:tcBorders>
          </w:tcPr>
          <w:p>
            <w:pPr>
              <w:pStyle w:val="0"/>
              <w:jc w:val="center"/>
            </w:pPr>
            <w:r>
              <w:rPr>
                <w:sz w:val="20"/>
              </w:rPr>
            </w:r>
          </w:p>
        </w:tc>
      </w:tr>
      <w:tr>
        <w:tblPrEx>
          <w:tblBorders>
            <w:insideH w:val="nil"/>
          </w:tblBorders>
        </w:tblPrEx>
        <w:tc>
          <w:tcPr>
            <w:tcW w:w="4479" w:type="dxa"/>
            <w:tcBorders>
              <w:top w:val="nil"/>
              <w:bottom w:val="nil"/>
            </w:tcBorders>
          </w:tcPr>
          <w:p>
            <w:pPr>
              <w:pStyle w:val="0"/>
              <w:ind w:left="283"/>
              <w:jc w:val="both"/>
            </w:pPr>
            <w:r>
              <w:rPr>
                <w:sz w:val="20"/>
              </w:rPr>
              <w:t xml:space="preserve">частицы размером до 2 мм</w:t>
            </w:r>
          </w:p>
        </w:tc>
        <w:tc>
          <w:tcPr>
            <w:tcW w:w="4592" w:type="dxa"/>
            <w:tcBorders>
              <w:top w:val="nil"/>
              <w:bottom w:val="nil"/>
            </w:tcBorders>
          </w:tcPr>
          <w:p>
            <w:pPr>
              <w:pStyle w:val="0"/>
              <w:jc w:val="center"/>
            </w:pPr>
            <w:r>
              <w:rPr>
                <w:sz w:val="20"/>
              </w:rPr>
              <w:t xml:space="preserve">5,0</w:t>
            </w:r>
          </w:p>
        </w:tc>
      </w:tr>
      <w:tr>
        <w:tblPrEx>
          <w:tblBorders>
            <w:insideH w:val="nil"/>
          </w:tblBorders>
        </w:tblPrEx>
        <w:tc>
          <w:tcPr>
            <w:tcW w:w="4479" w:type="dxa"/>
            <w:tcBorders>
              <w:top w:val="nil"/>
              <w:bottom w:val="nil"/>
            </w:tcBorders>
          </w:tcPr>
          <w:p>
            <w:pPr>
              <w:pStyle w:val="0"/>
            </w:pPr>
            <w:r>
              <w:rPr>
                <w:sz w:val="20"/>
              </w:rPr>
              <w:t xml:space="preserve">в том числе:</w:t>
            </w:r>
          </w:p>
        </w:tc>
        <w:tc>
          <w:tcPr>
            <w:tcW w:w="4592" w:type="dxa"/>
            <w:tcBorders>
              <w:top w:val="nil"/>
              <w:bottom w:val="nil"/>
            </w:tcBorders>
          </w:tcPr>
          <w:p>
            <w:pPr>
              <w:pStyle w:val="0"/>
              <w:jc w:val="center"/>
            </w:pPr>
            <w:r>
              <w:rPr>
                <w:sz w:val="20"/>
              </w:rPr>
            </w:r>
          </w:p>
        </w:tc>
      </w:tr>
      <w:tr>
        <w:tblPrEx>
          <w:tblBorders>
            <w:insideH w:val="nil"/>
          </w:tblBorders>
        </w:tblPrEx>
        <w:tc>
          <w:tcPr>
            <w:tcW w:w="4479" w:type="dxa"/>
            <w:tcBorders>
              <w:top w:val="nil"/>
              <w:bottom w:val="nil"/>
            </w:tcBorders>
          </w:tcPr>
          <w:p>
            <w:pPr>
              <w:pStyle w:val="0"/>
              <w:ind w:left="283"/>
              <w:jc w:val="both"/>
            </w:pPr>
            <w:r>
              <w:rPr>
                <w:sz w:val="20"/>
              </w:rPr>
              <w:t xml:space="preserve">частицы размером от 0,5 до 2 мм</w:t>
            </w:r>
          </w:p>
        </w:tc>
        <w:tc>
          <w:tcPr>
            <w:tcW w:w="4592" w:type="dxa"/>
            <w:tcBorders>
              <w:top w:val="nil"/>
              <w:bottom w:val="nil"/>
            </w:tcBorders>
          </w:tcPr>
          <w:p>
            <w:pPr>
              <w:pStyle w:val="0"/>
              <w:jc w:val="center"/>
            </w:pPr>
            <w:r>
              <w:rPr>
                <w:sz w:val="20"/>
              </w:rPr>
              <w:t xml:space="preserve">1,5</w:t>
            </w:r>
          </w:p>
        </w:tc>
      </w:tr>
      <w:tr>
        <w:tblPrEx>
          <w:tblBorders>
            <w:insideH w:val="nil"/>
          </w:tblBorders>
        </w:tblPrEx>
        <w:tc>
          <w:tcPr>
            <w:tcW w:w="4479" w:type="dxa"/>
            <w:tcBorders>
              <w:top w:val="nil"/>
            </w:tcBorders>
          </w:tcPr>
          <w:p>
            <w:pPr>
              <w:pStyle w:val="0"/>
              <w:ind w:left="283"/>
              <w:jc w:val="both"/>
            </w:pPr>
            <w:r>
              <w:rPr>
                <w:sz w:val="20"/>
              </w:rPr>
              <w:t xml:space="preserve">частицы размером более 2 мм и с острыми концами и краями</w:t>
            </w:r>
          </w:p>
        </w:tc>
        <w:tc>
          <w:tcPr>
            <w:tcW w:w="4592" w:type="dxa"/>
            <w:tcBorders>
              <w:top w:val="nil"/>
            </w:tcBorders>
          </w:tcPr>
          <w:p>
            <w:pPr>
              <w:pStyle w:val="0"/>
              <w:jc w:val="center"/>
            </w:pPr>
            <w:r>
              <w:rPr>
                <w:sz w:val="20"/>
              </w:rPr>
              <w:t xml:space="preserve">не допускаются</w:t>
            </w:r>
          </w:p>
        </w:tc>
      </w:tr>
      <w:tr>
        <w:tc>
          <w:tcPr>
            <w:gridSpan w:val="2"/>
            <w:tcW w:w="9071" w:type="dxa"/>
          </w:tcPr>
          <w:p>
            <w:pPr>
              <w:pStyle w:val="0"/>
              <w:ind w:firstLine="283"/>
              <w:jc w:val="both"/>
            </w:pPr>
            <w:r>
              <w:rPr>
                <w:sz w:val="20"/>
              </w:rPr>
              <w:t xml:space="preserve">Примечание - Допускается влажность отрубей, получаемых при переработке твердой пшеницы в макаронную муку и используемых в пределах данной области, не более 16,5%.</w:t>
            </w:r>
          </w:p>
        </w:tc>
      </w:tr>
    </w:tbl>
    <w:p>
      <w:pPr>
        <w:pStyle w:val="0"/>
        <w:ind w:firstLine="540"/>
        <w:jc w:val="both"/>
      </w:pPr>
      <w:r>
        <w:rPr>
          <w:sz w:val="20"/>
        </w:rPr>
      </w:r>
    </w:p>
    <w:p>
      <w:pPr>
        <w:pStyle w:val="0"/>
        <w:ind w:firstLine="540"/>
        <w:jc w:val="both"/>
      </w:pPr>
      <w:r>
        <w:rPr>
          <w:sz w:val="20"/>
        </w:rPr>
        <w:t xml:space="preserve">4.3 Влажность пшеничных отрубей, предназначенных для отгрузки в районы Крайнего Севера и приравненные к ним местности, а также для длительного хранения, должна быть не более 14,5%.</w:t>
      </w:r>
    </w:p>
    <w:p>
      <w:pPr>
        <w:pStyle w:val="0"/>
        <w:spacing w:before="200" w:line-rule="auto"/>
        <w:ind w:firstLine="540"/>
        <w:jc w:val="both"/>
      </w:pPr>
      <w:r>
        <w:rPr>
          <w:sz w:val="20"/>
        </w:rPr>
        <w:t xml:space="preserve">4.4 Содержание токсичных элементов, микотоксинов, пестицидов, радионуклидов, генно-модифицированных организмов (далее - ГМО), зараженность и загрязненность вредителями хлебных запасов (насекомые, клещи) в пшеничных отрубях не должно превышать допустимые уровни, установленные </w:t>
      </w:r>
      <w:hyperlink w:history="0" w:anchor="P223" w:tooltip="[1]">
        <w:r>
          <w:rPr>
            <w:sz w:val="20"/>
            <w:color w:val="0000ff"/>
          </w:rPr>
          <w:t xml:space="preserve">[1]</w:t>
        </w:r>
      </w:hyperlink>
      <w:r>
        <w:rPr>
          <w:sz w:val="20"/>
        </w:rPr>
        <w:t xml:space="preserve">, а также нормативными правовыми актами, действующими на территории государств, принявших стандарт.</w:t>
      </w:r>
    </w:p>
    <w:p>
      <w:pPr>
        <w:pStyle w:val="0"/>
        <w:spacing w:before="200" w:line-rule="auto"/>
        <w:ind w:firstLine="540"/>
        <w:jc w:val="both"/>
      </w:pPr>
      <w:r>
        <w:rPr>
          <w:sz w:val="20"/>
        </w:rPr>
        <w:t xml:space="preserve">Пшеничные отруби, используемые на кормовые цели, должны соответствовать требованиям, установленным в нормативных правовых актах, действующих на территории государств, их принявших.</w:t>
      </w:r>
    </w:p>
    <w:p>
      <w:pPr>
        <w:pStyle w:val="0"/>
        <w:spacing w:before="200" w:line-rule="auto"/>
        <w:ind w:firstLine="540"/>
        <w:jc w:val="both"/>
      </w:pPr>
      <w:r>
        <w:rPr>
          <w:sz w:val="20"/>
        </w:rPr>
        <w:t xml:space="preserve">4.5 Требования к сырью</w:t>
      </w:r>
    </w:p>
    <w:p>
      <w:pPr>
        <w:pStyle w:val="0"/>
        <w:spacing w:before="200" w:line-rule="auto"/>
        <w:ind w:firstLine="540"/>
        <w:jc w:val="both"/>
      </w:pPr>
      <w:r>
        <w:rPr>
          <w:sz w:val="20"/>
        </w:rPr>
        <w:t xml:space="preserve">4.5.1 Зерно пшеницы, предназначенное для переработки, должно соответствовать требованиям </w:t>
      </w:r>
      <w:hyperlink w:history="0" r:id="rId53" w:tooltip="&quot;ГОСТ 9353-2016. Межгосударственный стандарт. Пшеница. Технические условия&quot; (введен в действие Приказом Росстандарта от 15.09.2016 N 1133-ст) {КонсультантПлюс}">
        <w:r>
          <w:rPr>
            <w:sz w:val="20"/>
            <w:color w:val="0000ff"/>
          </w:rPr>
          <w:t xml:space="preserve">ГОСТ 9353</w:t>
        </w:r>
      </w:hyperlink>
      <w:r>
        <w:rPr>
          <w:sz w:val="20"/>
        </w:rPr>
        <w:t xml:space="preserve"> и </w:t>
      </w:r>
      <w:hyperlink w:history="0" w:anchor="P225" w:tooltip="[2]">
        <w:r>
          <w:rPr>
            <w:sz w:val="20"/>
            <w:color w:val="0000ff"/>
          </w:rPr>
          <w:t xml:space="preserve">[2]</w:t>
        </w:r>
      </w:hyperlink>
      <w:r>
        <w:rPr>
          <w:sz w:val="20"/>
        </w:rPr>
        <w:t xml:space="preserve">.</w:t>
      </w:r>
    </w:p>
    <w:p>
      <w:pPr>
        <w:pStyle w:val="0"/>
        <w:spacing w:before="200" w:line-rule="auto"/>
        <w:ind w:firstLine="540"/>
        <w:jc w:val="both"/>
      </w:pPr>
      <w:r>
        <w:rPr>
          <w:sz w:val="20"/>
        </w:rPr>
        <w:t xml:space="preserve">4.5.2 В зерне пшеницы, направляемой в размол после очистки, должно быть, %, не более:</w:t>
      </w:r>
    </w:p>
    <w:p>
      <w:pPr>
        <w:pStyle w:val="1"/>
        <w:spacing w:before="200" w:line-rule="auto"/>
        <w:jc w:val="both"/>
      </w:pPr>
      <w:r>
        <w:rPr>
          <w:sz w:val="20"/>
        </w:rPr>
        <w:t xml:space="preserve">    зерновой примеси ................................................. 5,0;</w:t>
      </w:r>
    </w:p>
    <w:p>
      <w:pPr>
        <w:pStyle w:val="1"/>
        <w:jc w:val="both"/>
      </w:pPr>
      <w:r>
        <w:rPr>
          <w:sz w:val="20"/>
        </w:rPr>
        <w:t xml:space="preserve">    в том числе, проросших зерен ..................................... 3,0;</w:t>
      </w:r>
    </w:p>
    <w:p>
      <w:pPr>
        <w:pStyle w:val="1"/>
        <w:jc w:val="both"/>
      </w:pPr>
      <w:r>
        <w:rPr>
          <w:sz w:val="20"/>
        </w:rPr>
        <w:t xml:space="preserve">    сорной примеси ................................................... 0,4;</w:t>
      </w:r>
    </w:p>
    <w:p>
      <w:pPr>
        <w:pStyle w:val="1"/>
        <w:jc w:val="both"/>
      </w:pPr>
      <w:r>
        <w:rPr>
          <w:sz w:val="20"/>
        </w:rPr>
        <w:t xml:space="preserve">    в том числе, куколя .............................................. 0,1;</w:t>
      </w:r>
    </w:p>
    <w:p>
      <w:pPr>
        <w:pStyle w:val="1"/>
        <w:jc w:val="both"/>
      </w:pPr>
      <w:r>
        <w:rPr>
          <w:sz w:val="20"/>
        </w:rPr>
        <w:t xml:space="preserve">    фузариозных зерен ................................................ 0,3;</w:t>
      </w:r>
    </w:p>
    <w:p>
      <w:pPr>
        <w:pStyle w:val="1"/>
        <w:jc w:val="both"/>
      </w:pPr>
      <w:r>
        <w:rPr>
          <w:sz w:val="20"/>
        </w:rPr>
        <w:t xml:space="preserve">    вредной примеси (головни, спорыньи, горчака ползучего,</w:t>
      </w:r>
    </w:p>
    <w:p>
      <w:pPr>
        <w:pStyle w:val="1"/>
        <w:jc w:val="both"/>
      </w:pPr>
      <w:r>
        <w:rPr>
          <w:sz w:val="20"/>
        </w:rPr>
        <w:t xml:space="preserve">    вязеля разноцветного) ........................................... 0,05;</w:t>
      </w:r>
    </w:p>
    <w:p>
      <w:pPr>
        <w:pStyle w:val="1"/>
        <w:jc w:val="both"/>
      </w:pPr>
      <w:r>
        <w:rPr>
          <w:sz w:val="20"/>
        </w:rPr>
        <w:t xml:space="preserve">    в том числе, горчака ползучего и вязеля разноцветного</w:t>
      </w:r>
    </w:p>
    <w:p>
      <w:pPr>
        <w:pStyle w:val="1"/>
        <w:jc w:val="both"/>
      </w:pPr>
      <w:r>
        <w:rPr>
          <w:sz w:val="20"/>
        </w:rPr>
        <w:t xml:space="preserve">    (отдельно или в совокупности) ................................... 0,04;</w:t>
      </w:r>
    </w:p>
    <w:p>
      <w:pPr>
        <w:pStyle w:val="1"/>
        <w:jc w:val="both"/>
      </w:pPr>
      <w:r>
        <w:rPr>
          <w:sz w:val="20"/>
        </w:rPr>
        <w:t xml:space="preserve">    примесь семян гелиотропа опушенноплодного и триходесмы</w:t>
      </w:r>
    </w:p>
    <w:p>
      <w:pPr>
        <w:pStyle w:val="1"/>
        <w:jc w:val="both"/>
      </w:pPr>
      <w:r>
        <w:rPr>
          <w:sz w:val="20"/>
        </w:rPr>
        <w:t xml:space="preserve">    седой ................................................. не допускается.</w:t>
      </w:r>
    </w:p>
    <w:p>
      <w:pPr>
        <w:pStyle w:val="0"/>
        <w:ind w:firstLine="540"/>
        <w:jc w:val="both"/>
      </w:pPr>
      <w:r>
        <w:rPr>
          <w:sz w:val="20"/>
        </w:rPr>
        <w:t xml:space="preserve">4.5.3 Каждая партия зерна пшеницы, поступающая в переработку должна сопровождаться товаросопроводительными документами в соответствии с </w:t>
      </w:r>
      <w:hyperlink w:history="0" w:anchor="P225" w:tooltip="[2]">
        <w:r>
          <w:rPr>
            <w:sz w:val="20"/>
            <w:color w:val="0000ff"/>
          </w:rPr>
          <w:t xml:space="preserve">[2]</w:t>
        </w:r>
      </w:hyperlink>
      <w:r>
        <w:rPr>
          <w:sz w:val="20"/>
        </w:rPr>
        <w:t xml:space="preserve">.</w:t>
      </w:r>
    </w:p>
    <w:p>
      <w:pPr>
        <w:pStyle w:val="0"/>
        <w:spacing w:before="200" w:line-rule="auto"/>
        <w:ind w:firstLine="540"/>
        <w:jc w:val="both"/>
      </w:pPr>
      <w:r>
        <w:rPr>
          <w:sz w:val="20"/>
        </w:rPr>
        <w:t xml:space="preserve">4.6 Маркировка</w:t>
      </w:r>
    </w:p>
    <w:p>
      <w:pPr>
        <w:pStyle w:val="0"/>
        <w:spacing w:before="200" w:line-rule="auto"/>
        <w:ind w:firstLine="540"/>
        <w:jc w:val="both"/>
      </w:pPr>
      <w:r>
        <w:rPr>
          <w:sz w:val="20"/>
        </w:rPr>
        <w:t xml:space="preserve">Маркировка - по </w:t>
      </w:r>
      <w:hyperlink w:history="0" r:id="rId54" w:tooltip="Ссылка на КонсультантПлюс">
        <w:r>
          <w:rPr>
            <w:sz w:val="20"/>
            <w:color w:val="0000ff"/>
          </w:rPr>
          <w:t xml:space="preserve">ГОСТ 14192</w:t>
        </w:r>
      </w:hyperlink>
      <w:r>
        <w:rPr>
          <w:sz w:val="20"/>
        </w:rPr>
        <w:t xml:space="preserve">, </w:t>
      </w:r>
      <w:hyperlink w:history="0" r:id="rId55" w:tooltip="&quot;ГОСТ 26791-89. Межгосударственный стандарт. Продукты переработки зерна. Упаковка, маркировка, транспортирование и хранение&quot; (утв. и введен в действие Постановлением Госстандарта СССР от 06.07.1989 N 2341) (ред. от 01.12.1991) ------------ Утратил силу или отменен {КонсультантПлюс}">
        <w:r>
          <w:rPr>
            <w:sz w:val="20"/>
            <w:color w:val="0000ff"/>
          </w:rPr>
          <w:t xml:space="preserve">ГОСТ 26791</w:t>
        </w:r>
      </w:hyperlink>
      <w:r>
        <w:rPr>
          <w:sz w:val="20"/>
        </w:rPr>
        <w:t xml:space="preserve"> и </w:t>
      </w:r>
      <w:hyperlink w:history="0" w:anchor="P229" w:tooltip="[4]">
        <w:r>
          <w:rPr>
            <w:sz w:val="20"/>
            <w:color w:val="0000ff"/>
          </w:rPr>
          <w:t xml:space="preserve">[4]</w:t>
        </w:r>
      </w:hyperlink>
      <w:r>
        <w:rPr>
          <w:sz w:val="20"/>
        </w:rPr>
        <w:t xml:space="preserve">.</w:t>
      </w:r>
    </w:p>
    <w:p>
      <w:pPr>
        <w:pStyle w:val="0"/>
        <w:spacing w:before="200" w:line-rule="auto"/>
        <w:ind w:firstLine="540"/>
        <w:jc w:val="both"/>
      </w:pPr>
      <w:r>
        <w:rPr>
          <w:sz w:val="20"/>
        </w:rPr>
        <w:t xml:space="preserve">Пшеничные отруби, предназначенные к отгрузке в районы Крайнего Севера и приравненные к ним местности, маркируют по </w:t>
      </w:r>
      <w:hyperlink w:history="0" r:id="rId56"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4.7 Упаковка</w:t>
      </w:r>
    </w:p>
    <w:p>
      <w:pPr>
        <w:pStyle w:val="0"/>
        <w:spacing w:before="200" w:line-rule="auto"/>
        <w:ind w:firstLine="540"/>
        <w:jc w:val="both"/>
      </w:pPr>
      <w:r>
        <w:rPr>
          <w:sz w:val="20"/>
        </w:rPr>
        <w:t xml:space="preserve">4.7.1 Упаковка - по </w:t>
      </w:r>
      <w:hyperlink w:history="0" r:id="rId57" w:tooltip="&quot;ГОСТ 26791-89. Межгосударственный стандарт. Продукты переработки зерна. Упаковка, маркировка, транспортирование и хранение&quot; (утв. и введен в действие Постановлением Госстандарта СССР от 06.07.1989 N 2341) (ред. от 01.12.1991) ------------ Утратил силу или отменен {КонсультантПлюс}">
        <w:r>
          <w:rPr>
            <w:sz w:val="20"/>
            <w:color w:val="0000ff"/>
          </w:rPr>
          <w:t xml:space="preserve">ГОСТ 26791</w:t>
        </w:r>
      </w:hyperlink>
      <w:r>
        <w:rPr>
          <w:sz w:val="20"/>
        </w:rPr>
        <w:t xml:space="preserve"> и </w:t>
      </w:r>
      <w:hyperlink w:history="0" w:anchor="P231" w:tooltip="[5]">
        <w:r>
          <w:rPr>
            <w:sz w:val="20"/>
            <w:color w:val="0000ff"/>
          </w:rPr>
          <w:t xml:space="preserve">[5]</w:t>
        </w:r>
      </w:hyperlink>
      <w:r>
        <w:rPr>
          <w:sz w:val="20"/>
        </w:rPr>
        <w:t xml:space="preserve">.</w:t>
      </w:r>
    </w:p>
    <w:p>
      <w:pPr>
        <w:pStyle w:val="0"/>
        <w:spacing w:before="200" w:line-rule="auto"/>
        <w:ind w:firstLine="540"/>
        <w:jc w:val="both"/>
      </w:pPr>
      <w:r>
        <w:rPr>
          <w:sz w:val="20"/>
        </w:rPr>
        <w:t xml:space="preserve">Допускается иная упаковка, обеспечивающая сохранность пшеничных отрубей и разрешенная к применению для контакта с пищевыми продуктами.</w:t>
      </w:r>
    </w:p>
    <w:p>
      <w:pPr>
        <w:pStyle w:val="0"/>
        <w:spacing w:before="200" w:line-rule="auto"/>
        <w:ind w:firstLine="540"/>
        <w:jc w:val="both"/>
      </w:pPr>
      <w:r>
        <w:rPr>
          <w:sz w:val="20"/>
        </w:rPr>
        <w:t xml:space="preserve">4.7.2 Пределы допустимых отрицательных отклонений от массы продукта в одной упаковочной единице от номинальной - по </w:t>
      </w:r>
      <w:hyperlink w:history="0" r:id="rId58"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w:t>
        </w:r>
      </w:hyperlink>
      <w:r>
        <w:rPr>
          <w:sz w:val="20"/>
        </w:rPr>
        <w:t xml:space="preserve">.</w:t>
      </w:r>
    </w:p>
    <w:p>
      <w:pPr>
        <w:pStyle w:val="0"/>
        <w:spacing w:before="200" w:line-rule="auto"/>
        <w:ind w:firstLine="540"/>
        <w:jc w:val="both"/>
      </w:pPr>
      <w:r>
        <w:rPr>
          <w:sz w:val="20"/>
        </w:rPr>
        <w:t xml:space="preserve">4.7.3 Пшеничные отруби, предназначенные для отгрузки в районы Крайнего Севера и приравненные к ним местности, упаковывают по </w:t>
      </w:r>
      <w:hyperlink w:history="0" r:id="rId59"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ind w:firstLine="540"/>
        <w:jc w:val="both"/>
      </w:pPr>
      <w:r>
        <w:rPr>
          <w:sz w:val="20"/>
        </w:rPr>
      </w:r>
    </w:p>
    <w:p>
      <w:pPr>
        <w:pStyle w:val="0"/>
        <w:outlineLvl w:val="1"/>
        <w:ind w:firstLine="540"/>
        <w:jc w:val="both"/>
      </w:pPr>
      <w:r>
        <w:rPr>
          <w:sz w:val="20"/>
        </w:rPr>
        <w:t xml:space="preserve">5. Требования безопасности производства</w:t>
      </w:r>
    </w:p>
    <w:p>
      <w:pPr>
        <w:pStyle w:val="0"/>
        <w:ind w:firstLine="540"/>
        <w:jc w:val="both"/>
      </w:pPr>
      <w:r>
        <w:rPr>
          <w:sz w:val="20"/>
        </w:rPr>
      </w:r>
    </w:p>
    <w:p>
      <w:pPr>
        <w:pStyle w:val="0"/>
        <w:ind w:firstLine="540"/>
        <w:jc w:val="both"/>
      </w:pPr>
      <w:r>
        <w:rPr>
          <w:sz w:val="20"/>
        </w:rPr>
        <w:t xml:space="preserve">5.1 Во время приемки, транспортировки и хранения отрубей необходимо соблюдать требования по технике безопасности и производственной санитарии.</w:t>
      </w:r>
    </w:p>
    <w:p>
      <w:pPr>
        <w:pStyle w:val="0"/>
        <w:spacing w:before="200" w:line-rule="auto"/>
        <w:ind w:firstLine="540"/>
        <w:jc w:val="both"/>
      </w:pPr>
      <w:r>
        <w:rPr>
          <w:sz w:val="20"/>
        </w:rPr>
        <w:t xml:space="preserve">5.2 Склады для размещения отрубей должны быть оснащены вентиляционными системами по </w:t>
      </w:r>
      <w:hyperlink w:history="0" r:id="rId60" w:tooltip="Ссылка на КонсультантПлюс">
        <w:r>
          <w:rPr>
            <w:sz w:val="20"/>
            <w:color w:val="0000ff"/>
          </w:rPr>
          <w:t xml:space="preserve">ГОСТ 12.4.021</w:t>
        </w:r>
      </w:hyperlink>
      <w:r>
        <w:rPr>
          <w:sz w:val="20"/>
        </w:rPr>
        <w:t xml:space="preserve">, соответствовать требованиям безопасности по </w:t>
      </w:r>
      <w:hyperlink w:history="0" r:id="rId61"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62"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5.3 Производственное оборудование должно соответствовать требованиям безопасности по </w:t>
      </w:r>
      <w:hyperlink w:history="0" r:id="rId63"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5.4 Содержание пыли в воздухе рабочей зоны не должно превышать допустимых значений по </w:t>
      </w:r>
      <w:hyperlink w:history="0" r:id="rId64" w:tooltip="Ссылка на КонсультантПлюс">
        <w:r>
          <w:rPr>
            <w:sz w:val="20"/>
            <w:color w:val="0000ff"/>
          </w:rPr>
          <w:t xml:space="preserve">ГОСТ 12.1.005</w:t>
        </w:r>
      </w:hyperlink>
      <w:r>
        <w:rPr>
          <w:sz w:val="20"/>
        </w:rPr>
        <w:t xml:space="preserve">.</w:t>
      </w:r>
    </w:p>
    <w:p>
      <w:pPr>
        <w:pStyle w:val="0"/>
        <w:ind w:firstLine="540"/>
        <w:jc w:val="both"/>
      </w:pPr>
      <w:r>
        <w:rPr>
          <w:sz w:val="20"/>
        </w:rPr>
      </w:r>
    </w:p>
    <w:p>
      <w:pPr>
        <w:pStyle w:val="0"/>
        <w:outlineLvl w:val="1"/>
        <w:ind w:firstLine="540"/>
        <w:jc w:val="both"/>
      </w:pPr>
      <w:r>
        <w:rPr>
          <w:sz w:val="20"/>
        </w:rPr>
        <w:t xml:space="preserve">6. Правила приемки</w:t>
      </w:r>
    </w:p>
    <w:p>
      <w:pPr>
        <w:pStyle w:val="0"/>
        <w:ind w:firstLine="540"/>
        <w:jc w:val="both"/>
      </w:pPr>
      <w:r>
        <w:rPr>
          <w:sz w:val="20"/>
        </w:rPr>
      </w:r>
    </w:p>
    <w:p>
      <w:pPr>
        <w:pStyle w:val="0"/>
        <w:ind w:firstLine="540"/>
        <w:jc w:val="both"/>
      </w:pPr>
      <w:r>
        <w:rPr>
          <w:sz w:val="20"/>
        </w:rPr>
        <w:t xml:space="preserve">6.1 Правила приемки отрубей - по </w:t>
      </w:r>
      <w:hyperlink w:history="0" r:id="rId65" w:tooltip="&quot;ГОСТ 27668-88. Государственный стандарт Союза ССР. Мука и отруби. Приемка и методы отбора проб&quot; (утв. и введен в действие Постановлением Госстандарта СССР от 30.03.1988 N 921) (ред. от 15.02.1995) {КонсультантПлюс}">
        <w:r>
          <w:rPr>
            <w:sz w:val="20"/>
            <w:color w:val="0000ff"/>
          </w:rPr>
          <w:t xml:space="preserve">ГОСТ 27668</w:t>
        </w:r>
      </w:hyperlink>
      <w:r>
        <w:rPr>
          <w:sz w:val="20"/>
        </w:rPr>
        <w:t xml:space="preserve">.</w:t>
      </w:r>
    </w:p>
    <w:p>
      <w:pPr>
        <w:pStyle w:val="0"/>
        <w:spacing w:before="200" w:line-rule="auto"/>
        <w:ind w:firstLine="540"/>
        <w:jc w:val="both"/>
      </w:pPr>
      <w:r>
        <w:rPr>
          <w:sz w:val="20"/>
        </w:rPr>
        <w:t xml:space="preserve">6.2 Порядок и периодичность контроля содержания токсичных элементов, микотоксинов, пестицидов, радионуклидов, зараженности и загрязненности отрубей вредителями хлебных запасов устанавливает изготовитель продукции с учетом требований законодательства государств, принявших стандарт.</w:t>
      </w:r>
    </w:p>
    <w:p>
      <w:pPr>
        <w:pStyle w:val="0"/>
        <w:ind w:firstLine="540"/>
        <w:jc w:val="both"/>
      </w:pPr>
      <w:r>
        <w:rPr>
          <w:sz w:val="20"/>
        </w:rPr>
      </w:r>
    </w:p>
    <w:p>
      <w:pPr>
        <w:pStyle w:val="0"/>
        <w:outlineLvl w:val="1"/>
        <w:ind w:firstLine="540"/>
        <w:jc w:val="both"/>
      </w:pPr>
      <w:r>
        <w:rPr>
          <w:sz w:val="20"/>
        </w:rPr>
        <w:t xml:space="preserve">7. Методы контроля</w:t>
      </w:r>
    </w:p>
    <w:p>
      <w:pPr>
        <w:pStyle w:val="0"/>
        <w:ind w:firstLine="540"/>
        <w:jc w:val="both"/>
      </w:pPr>
      <w:r>
        <w:rPr>
          <w:sz w:val="20"/>
        </w:rPr>
      </w:r>
    </w:p>
    <w:p>
      <w:pPr>
        <w:pStyle w:val="0"/>
        <w:ind w:firstLine="540"/>
        <w:jc w:val="both"/>
      </w:pPr>
      <w:r>
        <w:rPr>
          <w:sz w:val="20"/>
        </w:rPr>
        <w:t xml:space="preserve">7.1 Отбор проб зерна пшеницы перед помолом - по </w:t>
      </w:r>
      <w:hyperlink w:history="0" r:id="rId66"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7.2 Отбор проб отрубей - по </w:t>
      </w:r>
      <w:hyperlink w:history="0" r:id="rId67" w:tooltip="&quot;ГОСТ 27668-88. Государственный стандарт Союза ССР. Мука и отруби. Приемка и методы отбора проб&quot; (утв. и введен в действие Постановлением Госстандарта СССР от 30.03.1988 N 921) (ред. от 15.02.1995) {КонсультантПлюс}">
        <w:r>
          <w:rPr>
            <w:sz w:val="20"/>
            <w:color w:val="0000ff"/>
          </w:rPr>
          <w:t xml:space="preserve">ГОСТ 27668</w:t>
        </w:r>
      </w:hyperlink>
      <w:r>
        <w:rPr>
          <w:sz w:val="20"/>
        </w:rPr>
        <w:t xml:space="preserve">.</w:t>
      </w:r>
    </w:p>
    <w:p>
      <w:pPr>
        <w:pStyle w:val="0"/>
        <w:spacing w:before="200" w:line-rule="auto"/>
        <w:ind w:firstLine="540"/>
        <w:jc w:val="both"/>
      </w:pPr>
      <w:r>
        <w:rPr>
          <w:sz w:val="20"/>
        </w:rPr>
        <w:t xml:space="preserve">7.3 Определение цвета, вкуса, запаха и хруста - по </w:t>
      </w:r>
      <w:hyperlink w:history="0" r:id="rId68" w:tooltip="&quot;ГОСТ 27558-87. Межгосударственный стандарт. Мука и отруби. Методы определения цвета, запаха, вкуса и хруста&quot; (утв. и введен в действие Постановлением Госстандарта СССР от 24.12.1987 N 4993) (ред. от 01.10.1989) {КонсультантПлюс}">
        <w:r>
          <w:rPr>
            <w:sz w:val="20"/>
            <w:color w:val="0000ff"/>
          </w:rPr>
          <w:t xml:space="preserve">ГОСТ 27558</w:t>
        </w:r>
      </w:hyperlink>
      <w:r>
        <w:rPr>
          <w:sz w:val="20"/>
        </w:rPr>
        <w:t xml:space="preserve">.</w:t>
      </w:r>
    </w:p>
    <w:p>
      <w:pPr>
        <w:pStyle w:val="0"/>
        <w:spacing w:before="200" w:line-rule="auto"/>
        <w:ind w:firstLine="540"/>
        <w:jc w:val="both"/>
      </w:pPr>
      <w:r>
        <w:rPr>
          <w:sz w:val="20"/>
        </w:rPr>
        <w:t xml:space="preserve">7.4 Определение влажности - по </w:t>
      </w:r>
      <w:hyperlink w:history="0" r:id="rId69" w:tooltip="&quot;ГОСТ 9404-88. Межгосударственный стандарт. Мука и отруби. Метод определения влажности&quot; (утв. и введен в действие Постановлением Госстандарта СССР от 23.11.1988 N 3785) (ред. от 01.10.1989) {КонсультантПлюс}">
        <w:r>
          <w:rPr>
            <w:sz w:val="20"/>
            <w:color w:val="0000ff"/>
          </w:rPr>
          <w:t xml:space="preserve">ГОСТ 9404</w:t>
        </w:r>
      </w:hyperlink>
      <w:r>
        <w:rPr>
          <w:sz w:val="20"/>
        </w:rPr>
        <w:t xml:space="preserve">.</w:t>
      </w:r>
    </w:p>
    <w:p>
      <w:pPr>
        <w:pStyle w:val="0"/>
        <w:spacing w:before="200" w:line-rule="auto"/>
        <w:ind w:firstLine="540"/>
        <w:jc w:val="both"/>
      </w:pPr>
      <w:r>
        <w:rPr>
          <w:sz w:val="20"/>
        </w:rPr>
        <w:t xml:space="preserve">7.5 Определение металломагнитной примеси - по </w:t>
      </w:r>
      <w:hyperlink w:history="0" r:id="rId70"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w:t>
        </w:r>
      </w:hyperlink>
      <w:r>
        <w:rPr>
          <w:sz w:val="20"/>
        </w:rPr>
        <w:t xml:space="preserve">.</w:t>
      </w:r>
    </w:p>
    <w:p>
      <w:pPr>
        <w:pStyle w:val="0"/>
        <w:spacing w:before="200" w:line-rule="auto"/>
        <w:ind w:firstLine="540"/>
        <w:jc w:val="both"/>
      </w:pPr>
      <w:r>
        <w:rPr>
          <w:sz w:val="20"/>
        </w:rPr>
        <w:t xml:space="preserve">7.6 Определение зараженности и загрязненности вредителями - по </w:t>
      </w:r>
      <w:hyperlink w:history="0" r:id="rId71" w:tooltip="&quot;ГОСТ 27559-87. Межгосударственный стандарт. Мука и отруби. Метод определения зараженности и загрязненности вредителями хлебных запасов&quot; (утв. и введен в действие Постановлением Госстандарта СССР от 24.12.1987 N 4994) (ред. от 01.10.1989) {КонсультантПлюс}">
        <w:r>
          <w:rPr>
            <w:sz w:val="20"/>
            <w:color w:val="0000ff"/>
          </w:rPr>
          <w:t xml:space="preserve">ГОСТ 27559</w:t>
        </w:r>
      </w:hyperlink>
      <w:r>
        <w:rPr>
          <w:sz w:val="20"/>
        </w:rPr>
        <w:t xml:space="preserve">.</w:t>
      </w:r>
    </w:p>
    <w:p>
      <w:pPr>
        <w:pStyle w:val="0"/>
        <w:spacing w:before="200" w:line-rule="auto"/>
        <w:ind w:firstLine="540"/>
        <w:jc w:val="both"/>
      </w:pPr>
      <w:r>
        <w:rPr>
          <w:sz w:val="20"/>
        </w:rPr>
        <w:t xml:space="preserve">7.7 Определение содержания сорной примеси - по </w:t>
      </w:r>
      <w:hyperlink w:history="0" r:id="rId72"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7.8 Подготовка проб и минерализация для определения содержания токсичных элементов - по </w:t>
      </w:r>
      <w:hyperlink w:history="0" r:id="rId73"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74"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w:t>
      </w:r>
    </w:p>
    <w:p>
      <w:pPr>
        <w:pStyle w:val="0"/>
        <w:spacing w:before="200" w:line-rule="auto"/>
        <w:ind w:firstLine="540"/>
        <w:jc w:val="both"/>
      </w:pPr>
      <w:r>
        <w:rPr>
          <w:sz w:val="20"/>
        </w:rPr>
        <w:t xml:space="preserve">7.9 Определение пестицидов - по </w:t>
      </w:r>
      <w:hyperlink w:history="0" r:id="rId75"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w:t>
      </w:r>
      <w:hyperlink w:history="0" r:id="rId76"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w:t>
      </w:r>
      <w:hyperlink w:history="0" r:id="rId77"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w:t>
        </w:r>
      </w:hyperlink>
      <w:r>
        <w:rPr>
          <w:sz w:val="20"/>
        </w:rPr>
        <w:t xml:space="preserve">.</w:t>
      </w:r>
    </w:p>
    <w:p>
      <w:pPr>
        <w:pStyle w:val="0"/>
        <w:spacing w:before="200" w:line-rule="auto"/>
        <w:ind w:firstLine="540"/>
        <w:jc w:val="both"/>
      </w:pPr>
      <w:r>
        <w:rPr>
          <w:sz w:val="20"/>
        </w:rPr>
        <w:t xml:space="preserve">7.10 Определение ртути - по </w:t>
      </w:r>
      <w:hyperlink w:history="0" r:id="rId78"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w:t>
      </w:r>
    </w:p>
    <w:p>
      <w:pPr>
        <w:pStyle w:val="0"/>
        <w:spacing w:before="200" w:line-rule="auto"/>
        <w:ind w:firstLine="540"/>
        <w:jc w:val="both"/>
      </w:pPr>
      <w:r>
        <w:rPr>
          <w:sz w:val="20"/>
        </w:rPr>
        <w:t xml:space="preserve">7.11 Определение мышьяка - по </w:t>
      </w:r>
      <w:hyperlink w:history="0" r:id="rId79"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80"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w:t>
      </w:r>
      <w:hyperlink w:history="0" r:id="rId81"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w:t>
      </w:r>
    </w:p>
    <w:p>
      <w:pPr>
        <w:pStyle w:val="0"/>
        <w:spacing w:before="200" w:line-rule="auto"/>
        <w:ind w:firstLine="540"/>
        <w:jc w:val="both"/>
      </w:pPr>
      <w:r>
        <w:rPr>
          <w:sz w:val="20"/>
        </w:rPr>
        <w:t xml:space="preserve">7.12 Определение свинца - по </w:t>
      </w:r>
      <w:hyperlink w:history="0" r:id="rId82"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w:t>
      </w:r>
    </w:p>
    <w:p>
      <w:pPr>
        <w:pStyle w:val="0"/>
        <w:spacing w:before="200" w:line-rule="auto"/>
        <w:ind w:firstLine="540"/>
        <w:jc w:val="both"/>
      </w:pPr>
      <w:r>
        <w:rPr>
          <w:sz w:val="20"/>
        </w:rPr>
        <w:t xml:space="preserve">7.13 Определение кадмия - по </w:t>
      </w:r>
      <w:hyperlink w:history="0" r:id="rId83"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w:t>
      </w:r>
    </w:p>
    <w:p>
      <w:pPr>
        <w:pStyle w:val="0"/>
        <w:spacing w:before="200" w:line-rule="auto"/>
        <w:ind w:firstLine="540"/>
        <w:jc w:val="both"/>
      </w:pPr>
      <w:r>
        <w:rPr>
          <w:sz w:val="20"/>
        </w:rPr>
        <w:t xml:space="preserve">7.14 Определение микотоксинов - по </w:t>
      </w:r>
      <w:hyperlink w:history="0" r:id="rId84"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а также:</w:t>
      </w:r>
    </w:p>
    <w:p>
      <w:pPr>
        <w:pStyle w:val="0"/>
        <w:spacing w:before="200" w:line-rule="auto"/>
        <w:ind w:firstLine="540"/>
        <w:jc w:val="both"/>
      </w:pPr>
      <w:r>
        <w:rPr>
          <w:sz w:val="20"/>
        </w:rPr>
        <w:t xml:space="preserve">- афлатоксина B</w:t>
      </w:r>
      <w:r>
        <w:rPr>
          <w:sz w:val="20"/>
          <w:vertAlign w:val="subscript"/>
        </w:rPr>
        <w:t xml:space="preserve">1</w:t>
      </w:r>
      <w:r>
        <w:rPr>
          <w:sz w:val="20"/>
        </w:rPr>
        <w:t xml:space="preserve"> - по </w:t>
      </w:r>
      <w:hyperlink w:history="0" r:id="rId85"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86"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зеараленона - по </w:t>
      </w:r>
      <w:hyperlink w:history="0" r:id="rId87"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w:t>
      </w:r>
    </w:p>
    <w:p>
      <w:pPr>
        <w:pStyle w:val="0"/>
        <w:spacing w:before="200" w:line-rule="auto"/>
        <w:ind w:firstLine="540"/>
        <w:jc w:val="both"/>
      </w:pPr>
      <w:r>
        <w:rPr>
          <w:sz w:val="20"/>
        </w:rPr>
        <w:t xml:space="preserve">- Т-2 токсина - по </w:t>
      </w:r>
      <w:hyperlink w:history="0" r:id="rId88"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а также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 охратоксина A - по </w:t>
      </w:r>
      <w:hyperlink w:history="0" r:id="rId89"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w:t>
      </w:r>
      <w:hyperlink w:history="0" r:id="rId90"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w:t>
      </w:r>
    </w:p>
    <w:p>
      <w:pPr>
        <w:pStyle w:val="0"/>
        <w:spacing w:before="200" w:line-rule="auto"/>
        <w:ind w:firstLine="540"/>
        <w:jc w:val="both"/>
      </w:pPr>
      <w:r>
        <w:rPr>
          <w:sz w:val="20"/>
        </w:rPr>
        <w:t xml:space="preserve">7.15 Определение токсичных элементов - по </w:t>
      </w:r>
      <w:hyperlink w:history="0" r:id="rId91"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92"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а также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7.16 Определение радионуклидов - по </w:t>
      </w:r>
      <w:hyperlink w:history="0" r:id="rId93"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94"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w:t>
      </w:r>
      <w:hyperlink w:history="0" r:id="rId95"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w:t>
      </w:r>
    </w:p>
    <w:p>
      <w:pPr>
        <w:pStyle w:val="0"/>
        <w:spacing w:before="200" w:line-rule="auto"/>
        <w:ind w:firstLine="540"/>
        <w:jc w:val="both"/>
      </w:pPr>
      <w:r>
        <w:rPr>
          <w:sz w:val="20"/>
        </w:rPr>
        <w:t xml:space="preserve">7.17 Определение остаточных количеств 2,4-Д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7.18 Определение ртутьорганических пестицидов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7.19 Определение ГМО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7.20 Допускается проведение испытаний по другим утвержденным в установленном порядке нормативным документам на методы, а также по методикам выполнения измерений, прошедшим метрологический контроль в установленном порядке, которые обеспечивают сопоставимость испытаний при их использовании и по документам, включенным в перечень </w:t>
      </w:r>
      <w:hyperlink w:history="0" w:anchor="P223" w:tooltip="[1]">
        <w:r>
          <w:rPr>
            <w:sz w:val="20"/>
            <w:color w:val="0000ff"/>
          </w:rPr>
          <w:t xml:space="preserve">[1]</w:t>
        </w:r>
      </w:hyperlink>
      <w:r>
        <w:rPr>
          <w:sz w:val="20"/>
        </w:rPr>
        <w:t xml:space="preserve">, </w:t>
      </w:r>
      <w:hyperlink w:history="0" w:anchor="P225" w:tooltip="[2]">
        <w:r>
          <w:rPr>
            <w:sz w:val="20"/>
            <w:color w:val="0000ff"/>
          </w:rPr>
          <w:t xml:space="preserve">[2]</w:t>
        </w:r>
      </w:hyperlink>
      <w:r>
        <w:rPr>
          <w:sz w:val="20"/>
        </w:rPr>
        <w:t xml:space="preserve">.</w:t>
      </w:r>
    </w:p>
    <w:p>
      <w:pPr>
        <w:pStyle w:val="0"/>
        <w:ind w:firstLine="540"/>
        <w:jc w:val="both"/>
      </w:pPr>
      <w:r>
        <w:rPr>
          <w:sz w:val="20"/>
        </w:rPr>
      </w:r>
    </w:p>
    <w:p>
      <w:pPr>
        <w:pStyle w:val="0"/>
        <w:outlineLvl w:val="1"/>
        <w:ind w:firstLine="540"/>
        <w:jc w:val="both"/>
      </w:pPr>
      <w:r>
        <w:rPr>
          <w:sz w:val="20"/>
        </w:rPr>
        <w:t xml:space="preserve">8. Транспортирование и хранение</w:t>
      </w:r>
    </w:p>
    <w:p>
      <w:pPr>
        <w:pStyle w:val="0"/>
        <w:ind w:firstLine="540"/>
        <w:jc w:val="both"/>
      </w:pPr>
      <w:r>
        <w:rPr>
          <w:sz w:val="20"/>
        </w:rPr>
      </w:r>
    </w:p>
    <w:p>
      <w:pPr>
        <w:pStyle w:val="0"/>
        <w:ind w:firstLine="540"/>
        <w:jc w:val="both"/>
      </w:pPr>
      <w:r>
        <w:rPr>
          <w:sz w:val="20"/>
        </w:rPr>
        <w:t xml:space="preserve">8.1 Транспортирование и хранение - по </w:t>
      </w:r>
      <w:hyperlink w:history="0" r:id="rId96" w:tooltip="&quot;ГОСТ 26791-89. Межгосударственный стандарт. Продукты переработки зерна. Упаковка, маркировка, транспортирование и хранение&quot; (утв. и введен в действие Постановлением Госстандарта СССР от 06.07.1989 N 2341) (ред. от 01.12.1991) ------------ Утратил силу или отменен {КонсультантПлюс}">
        <w:r>
          <w:rPr>
            <w:sz w:val="20"/>
            <w:color w:val="0000ff"/>
          </w:rPr>
          <w:t xml:space="preserve">ГОСТ 26791</w:t>
        </w:r>
      </w:hyperlink>
      <w:r>
        <w:rPr>
          <w:sz w:val="20"/>
        </w:rPr>
        <w:t xml:space="preserve">.</w:t>
      </w:r>
    </w:p>
    <w:p>
      <w:pPr>
        <w:pStyle w:val="0"/>
        <w:spacing w:before="200" w:line-rule="auto"/>
        <w:ind w:firstLine="540"/>
        <w:jc w:val="both"/>
      </w:pPr>
      <w:r>
        <w:rPr>
          <w:sz w:val="20"/>
        </w:rPr>
        <w:t xml:space="preserve">8.2 Транспортирование и хранение отрубей, предназначенных для отправки в районы Крайнего Севера и приравненные к ним местности, - по </w:t>
      </w:r>
      <w:hyperlink w:history="0" r:id="rId97"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8.3 Пшеничные отруби перевозят в крытых транспортных средствах всех видов в соответствии с правилами перевозки грузов, действующими на транспорте конкретного вида, обеспечивающими сохранность продукции.</w:t>
      </w:r>
    </w:p>
    <w:p>
      <w:pPr>
        <w:pStyle w:val="0"/>
        <w:spacing w:before="200" w:line-rule="auto"/>
        <w:ind w:firstLine="540"/>
        <w:jc w:val="both"/>
      </w:pPr>
      <w:r>
        <w:rPr>
          <w:sz w:val="20"/>
        </w:rPr>
        <w:t xml:space="preserve">8.4 При перевозке отрубей транспортные средства должны быть чистыми, не зараженными и не загрязненными вредителями, без постороннего запаха.</w:t>
      </w:r>
    </w:p>
    <w:p>
      <w:pPr>
        <w:pStyle w:val="0"/>
        <w:spacing w:before="200" w:line-rule="auto"/>
        <w:ind w:firstLine="540"/>
        <w:jc w:val="both"/>
      </w:pPr>
      <w:r>
        <w:rPr>
          <w:sz w:val="20"/>
        </w:rPr>
        <w:t xml:space="preserve">8.5 Пшеничные отруби хранят в крытых складских помещениях, защищенных от воздействия солнечных лучей и атмосферных осадков, с относительной влажностью воздуха до 70% и температурой до 25 °C.</w:t>
      </w:r>
    </w:p>
    <w:p>
      <w:pPr>
        <w:pStyle w:val="0"/>
        <w:spacing w:before="200" w:line-rule="auto"/>
        <w:ind w:firstLine="540"/>
        <w:jc w:val="both"/>
      </w:pPr>
      <w:r>
        <w:rPr>
          <w:sz w:val="20"/>
        </w:rPr>
        <w:t xml:space="preserve">Помещения для хранения пшеничных отрубей должны быть чистыми, сухими, хорошо проветриваемыми, не зараженными вредителями.</w:t>
      </w:r>
    </w:p>
    <w:p>
      <w:pPr>
        <w:pStyle w:val="0"/>
        <w:spacing w:before="200" w:line-rule="auto"/>
        <w:ind w:firstLine="540"/>
        <w:jc w:val="both"/>
      </w:pPr>
      <w:r>
        <w:rPr>
          <w:sz w:val="20"/>
        </w:rPr>
        <w:t xml:space="preserve">Хранение отрубей вместе с товарами и продуктами, имеющими специфический запах, не допускается.</w:t>
      </w:r>
    </w:p>
    <w:p>
      <w:pPr>
        <w:pStyle w:val="0"/>
        <w:spacing w:before="200" w:line-rule="auto"/>
        <w:ind w:firstLine="540"/>
        <w:jc w:val="both"/>
      </w:pPr>
      <w:r>
        <w:rPr>
          <w:sz w:val="20"/>
        </w:rPr>
        <w:t xml:space="preserve">8.6 Сроки годности и условия хранения пшеничных отрубей устанавливает изготовитель продукции в соответствии с нормативными документами, действующими на территории государства, принявшего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center"/>
      </w:pPr>
      <w:r>
        <w:rPr>
          <w:sz w:val="20"/>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8561"/>
      </w:tblGrid>
      <w:tr>
        <w:tc>
          <w:tcPr>
            <w:tcW w:w="510" w:type="dxa"/>
            <w:tcBorders>
              <w:top w:val="nil"/>
              <w:left w:val="nil"/>
              <w:bottom w:val="nil"/>
              <w:right w:val="nil"/>
            </w:tcBorders>
          </w:tcPr>
          <w:bookmarkStart w:id="223" w:name="P223"/>
          <w:bookmarkEnd w:id="223"/>
          <w:p>
            <w:pPr>
              <w:pStyle w:val="0"/>
            </w:pPr>
            <w:r>
              <w:rPr>
                <w:sz w:val="20"/>
              </w:rPr>
              <w:t xml:space="preserve">[1]</w:t>
            </w:r>
          </w:p>
        </w:tc>
        <w:tc>
          <w:tcPr>
            <w:tcW w:w="8561" w:type="dxa"/>
            <w:tcBorders>
              <w:top w:val="nil"/>
              <w:left w:val="nil"/>
              <w:bottom w:val="nil"/>
              <w:right w:val="nil"/>
            </w:tcBorders>
          </w:tcPr>
          <w:p>
            <w:pPr>
              <w:pStyle w:val="0"/>
              <w:jc w:val="both"/>
            </w:pPr>
            <w:hyperlink w:history="0" r:id="rId98"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ТР ТС 021/2011</w:t>
              </w:r>
            </w:hyperlink>
            <w:r>
              <w:rPr>
                <w:sz w:val="20"/>
              </w:rPr>
              <w:t xml:space="preserve"> Технический регламент Таможенного союза "О безопасности пищевой продукции"</w:t>
            </w:r>
          </w:p>
        </w:tc>
      </w:tr>
      <w:tr>
        <w:tc>
          <w:tcPr>
            <w:tcW w:w="510" w:type="dxa"/>
            <w:tcBorders>
              <w:top w:val="nil"/>
              <w:left w:val="nil"/>
              <w:bottom w:val="nil"/>
              <w:right w:val="nil"/>
            </w:tcBorders>
          </w:tcPr>
          <w:bookmarkStart w:id="225" w:name="P225"/>
          <w:bookmarkEnd w:id="225"/>
          <w:p>
            <w:pPr>
              <w:pStyle w:val="0"/>
            </w:pPr>
            <w:r>
              <w:rPr>
                <w:sz w:val="20"/>
              </w:rPr>
              <w:t xml:space="preserve">[2]</w:t>
            </w:r>
          </w:p>
        </w:tc>
        <w:tc>
          <w:tcPr>
            <w:tcW w:w="8561" w:type="dxa"/>
            <w:tcBorders>
              <w:top w:val="nil"/>
              <w:left w:val="nil"/>
              <w:bottom w:val="nil"/>
              <w:right w:val="nil"/>
            </w:tcBorders>
          </w:tcPr>
          <w:p>
            <w:pPr>
              <w:pStyle w:val="0"/>
              <w:jc w:val="both"/>
            </w:pPr>
            <w:hyperlink w:history="0" r:id="rId99"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r>
              <w:rPr>
                <w:sz w:val="20"/>
              </w:rPr>
              <w:t xml:space="preserve"> Технический регламент Таможенного союза "О безопасности зерна"</w:t>
            </w:r>
          </w:p>
        </w:tc>
      </w:tr>
      <w:tr>
        <w:tc>
          <w:tcPr>
            <w:tcW w:w="510" w:type="dxa"/>
            <w:tcBorders>
              <w:top w:val="nil"/>
              <w:left w:val="nil"/>
              <w:bottom w:val="nil"/>
              <w:right w:val="nil"/>
            </w:tcBorders>
          </w:tcPr>
          <w:bookmarkStart w:id="227" w:name="P227"/>
          <w:bookmarkEnd w:id="227"/>
          <w:p>
            <w:pPr>
              <w:pStyle w:val="0"/>
            </w:pPr>
            <w:r>
              <w:rPr>
                <w:sz w:val="20"/>
              </w:rPr>
              <w:t xml:space="preserve">[3]</w:t>
            </w:r>
          </w:p>
        </w:tc>
        <w:tc>
          <w:tcPr>
            <w:tcW w:w="8561" w:type="dxa"/>
            <w:tcBorders>
              <w:top w:val="nil"/>
              <w:left w:val="nil"/>
              <w:bottom w:val="nil"/>
              <w:right w:val="nil"/>
            </w:tcBorders>
          </w:tcPr>
          <w:p>
            <w:pPr>
              <w:pStyle w:val="0"/>
              <w:jc w:val="both"/>
            </w:pPr>
            <w:hyperlink w:history="0" r:id="rId100" w:tooltip="Ссылка на КонсультантПлюс">
              <w:r>
                <w:rPr>
                  <w:sz w:val="20"/>
                  <w:color w:val="0000ff"/>
                </w:rPr>
                <w:t xml:space="preserve">Правила</w:t>
              </w:r>
            </w:hyperlink>
            <w:r>
              <w:rPr>
                <w:sz w:val="20"/>
              </w:rPr>
              <w:t xml:space="preserve"> организации и ведения технологического процесса на мукомольных заводах, утвержденные приказом Госкомпрода СССР от 1 февраля 1991 г.</w:t>
            </w:r>
          </w:p>
        </w:tc>
      </w:tr>
      <w:tr>
        <w:tc>
          <w:tcPr>
            <w:tcW w:w="510" w:type="dxa"/>
            <w:tcBorders>
              <w:top w:val="nil"/>
              <w:left w:val="nil"/>
              <w:bottom w:val="nil"/>
              <w:right w:val="nil"/>
            </w:tcBorders>
          </w:tcPr>
          <w:bookmarkStart w:id="229" w:name="P229"/>
          <w:bookmarkEnd w:id="229"/>
          <w:p>
            <w:pPr>
              <w:pStyle w:val="0"/>
            </w:pPr>
            <w:r>
              <w:rPr>
                <w:sz w:val="20"/>
              </w:rPr>
              <w:t xml:space="preserve">[4]</w:t>
            </w:r>
          </w:p>
        </w:tc>
        <w:tc>
          <w:tcPr>
            <w:tcW w:w="8561" w:type="dxa"/>
            <w:tcBorders>
              <w:top w:val="nil"/>
              <w:left w:val="nil"/>
              <w:bottom w:val="nil"/>
              <w:right w:val="nil"/>
            </w:tcBorders>
          </w:tcPr>
          <w:p>
            <w:pPr>
              <w:pStyle w:val="0"/>
              <w:jc w:val="both"/>
            </w:pPr>
            <w:hyperlink w:history="0" r:id="rId10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ТР ТС 022/2011</w:t>
              </w:r>
            </w:hyperlink>
            <w:r>
              <w:rPr>
                <w:sz w:val="20"/>
              </w:rPr>
              <w:t xml:space="preserve"> Технический регламент Таможенного союза "Пищевая продукция в части ее маркировки"</w:t>
            </w:r>
          </w:p>
        </w:tc>
      </w:tr>
      <w:tr>
        <w:tc>
          <w:tcPr>
            <w:tcW w:w="510" w:type="dxa"/>
            <w:tcBorders>
              <w:top w:val="nil"/>
              <w:left w:val="nil"/>
              <w:bottom w:val="nil"/>
              <w:right w:val="nil"/>
            </w:tcBorders>
          </w:tcPr>
          <w:bookmarkStart w:id="231" w:name="P231"/>
          <w:bookmarkEnd w:id="231"/>
          <w:p>
            <w:pPr>
              <w:pStyle w:val="0"/>
            </w:pPr>
            <w:r>
              <w:rPr>
                <w:sz w:val="20"/>
              </w:rPr>
              <w:t xml:space="preserve">[5]</w:t>
            </w:r>
          </w:p>
        </w:tc>
        <w:tc>
          <w:tcPr>
            <w:tcW w:w="8561" w:type="dxa"/>
            <w:tcBorders>
              <w:top w:val="nil"/>
              <w:left w:val="nil"/>
              <w:bottom w:val="nil"/>
              <w:right w:val="nil"/>
            </w:tcBorders>
          </w:tcPr>
          <w:p>
            <w:pPr>
              <w:pStyle w:val="0"/>
              <w:jc w:val="both"/>
            </w:pPr>
            <w:hyperlink w:history="0" r:id="rId102"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ТР ТС 005/2011</w:t>
              </w:r>
            </w:hyperlink>
            <w:r>
              <w:rPr>
                <w:sz w:val="20"/>
              </w:rPr>
              <w:t xml:space="preserve"> Технический регламент Таможенного союза "О безопасности упаковки"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7169-2017. Межгосударственный стандарт. Отруби пшеничные. Технические условия"</w:t>
            <w:br/>
            <w:t>(введен в действие Приказом Росстан...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8A459CD779AC153406AA456CB1285BD073A67E9488B5322BF4B529AAB8ECA42FF3E8A8E2B1CBB77A31D212EBBBCAN" TargetMode = "External"/>
	<Relationship Id="rId8" Type="http://schemas.openxmlformats.org/officeDocument/2006/relationships/hyperlink" Target="consultantplus://offline/ref=198A459CD779AC153406A95075B1285BD37AAF7E9680E83823ADB92BADB7B3A13AE2B0A7E9A6D4B7652DD010BECBN" TargetMode = "External"/>
	<Relationship Id="rId9" Type="http://schemas.openxmlformats.org/officeDocument/2006/relationships/hyperlink" Target="consultantplus://offline/ref=198A459CD779AC153406A95075B1285BD079A67B9680E83823ADB92BADB7B3A13AE2B0A7E9A6D4B7652DD010BECBN" TargetMode = "External"/>
	<Relationship Id="rId10" Type="http://schemas.openxmlformats.org/officeDocument/2006/relationships/hyperlink" Target="consultantplus://offline/ref=198A459CD779AC153406AA456CB1285BD073A67E9488B5322BF4B529AAB8ECA43DF3B0A4E0B8D5B67D248443ADEDC9514523F142145185BAB3CFN" TargetMode = "External"/>
	<Relationship Id="rId11" Type="http://schemas.openxmlformats.org/officeDocument/2006/relationships/hyperlink" Target="consultantplus://offline/ref=198A459CD779AC153406A95075B1285BDB7BAE74C1D7EA6976A3BC23FDEDA3A573B5B4BBE1B9CBB47B2DBDC2N" TargetMode = "External"/>
	<Relationship Id="rId12" Type="http://schemas.openxmlformats.org/officeDocument/2006/relationships/hyperlink" Target="consultantplus://offline/ref=198A459CD779AC153406A95075B1285BDA7CA7779CDDE2307AA1BB2CA2E8B6B42BBABFACFEB9D4A8792FD2B1C0N" TargetMode = "External"/>
	<Relationship Id="rId13" Type="http://schemas.openxmlformats.org/officeDocument/2006/relationships/hyperlink" Target="consultantplus://offline/ref=198A459CD779AC153406B55069B1285BD678A87E9CDDE2307AA1BB2CA2E8B6B42BBABFACFEB9D4A8792FD2B1C0N" TargetMode = "External"/>
	<Relationship Id="rId14" Type="http://schemas.openxmlformats.org/officeDocument/2006/relationships/hyperlink" Target="consultantplus://offline/ref=198A459CD779AC153406B55069B1285BD77DA8789CDDE2307AA1BB2CA2E8B6B42BBABFACFEB9D4A8792FD2B1C0N" TargetMode = "External"/>
	<Relationship Id="rId15" Type="http://schemas.openxmlformats.org/officeDocument/2006/relationships/hyperlink" Target="consultantplus://offline/ref=198A459CD779AC153406B55069B1285BD17CAB74C1D7EA6976A3BC23FDEDA3A573B5B4BBE1B9CBB47B2DBDC2N" TargetMode = "External"/>
	<Relationship Id="rId16" Type="http://schemas.openxmlformats.org/officeDocument/2006/relationships/hyperlink" Target="consultantplus://offline/ref=198A459CD779AC153406B55069B1285BD67AAD7F9CDDE2307AA1BB2CA2E8B6B42BBABFACFEB9D4A8792FD2B1C0N" TargetMode = "External"/>
	<Relationship Id="rId17" Type="http://schemas.openxmlformats.org/officeDocument/2006/relationships/hyperlink" Target="consultantplus://offline/ref=198A459CD779AC153406B55069B1285BD67AAA7E9CDDE2307AA1BB2CA2E8B6B42BBABFACFEB9D4A8792FD2B1C0N" TargetMode = "External"/>
	<Relationship Id="rId18" Type="http://schemas.openxmlformats.org/officeDocument/2006/relationships/hyperlink" Target="consultantplus://offline/ref=198A459CD779AC153406A95075B1285BD378A97C9780E83823ADB92BADB7B3A13AE2B0A7E9A6D4B7652DD010BECBN" TargetMode = "External"/>
	<Relationship Id="rId19" Type="http://schemas.openxmlformats.org/officeDocument/2006/relationships/hyperlink" Target="consultantplus://offline/ref=198A459CD779AC153406A95075B1285BD37EAC7C9180E83823ADB92BADB7B3A13AE2B0A7E9A6D4B7652DD010BECBN" TargetMode = "External"/>
	<Relationship Id="rId20" Type="http://schemas.openxmlformats.org/officeDocument/2006/relationships/hyperlink" Target="consultantplus://offline/ref=198A459CD779AC153406A95075B1285BD07EA7799180E83823ADB92BADB7B3A13AE2B0A7E9A6D4B7652DD010BECBN" TargetMode = "External"/>
	<Relationship Id="rId21" Type="http://schemas.openxmlformats.org/officeDocument/2006/relationships/hyperlink" Target="consultantplus://offline/ref=198A459CD779AC153406A95075B1285BD37BA67F9380E83823ADB92BADB7B3A13AE2B0A7E9A6D4B7652DD010BECBN" TargetMode = "External"/>
	<Relationship Id="rId22" Type="http://schemas.openxmlformats.org/officeDocument/2006/relationships/hyperlink" Target="consultantplus://offline/ref=198A459CD779AC153406B55069B1285BD37EA67C9580E83823ADB92BADB7B3A13AE2B0A7E9A6D4B7652DD010BECBN" TargetMode = "External"/>
	<Relationship Id="rId23" Type="http://schemas.openxmlformats.org/officeDocument/2006/relationships/hyperlink" Target="consultantplus://offline/ref=198A459CD779AC153406A95075B1285BD07FA9779680E83823ADB92BADB7B3A13AE2B0A7E9A6D4B7652DD010BECBN" TargetMode = "External"/>
	<Relationship Id="rId24" Type="http://schemas.openxmlformats.org/officeDocument/2006/relationships/hyperlink" Target="consultantplus://offline/ref=198A459CD779AC153406A95075B1285BDA7EA7799CDDE2307AA1BB2CA2E8B6B42BBABFACFEB9D4A8792FD2B1C0N" TargetMode = "External"/>
	<Relationship Id="rId25" Type="http://schemas.openxmlformats.org/officeDocument/2006/relationships/hyperlink" Target="consultantplus://offline/ref=198A459CD779AC153406A95075B1285BDA7FAB789CDDE2307AA1BB2CA2E8B6B42BBABFACFEB9D4A8792FD2B1C0N" TargetMode = "External"/>
	<Relationship Id="rId26" Type="http://schemas.openxmlformats.org/officeDocument/2006/relationships/hyperlink" Target="consultantplus://offline/ref=198A459CD779AC153406A95075B1285BD37DA7799680E83823ADB92BADB7B3A13AE2B0A7E9A6D4B7652DD010BECBN" TargetMode = "External"/>
	<Relationship Id="rId27" Type="http://schemas.openxmlformats.org/officeDocument/2006/relationships/hyperlink" Target="consultantplus://offline/ref=198A459CD779AC153406A95075B1285BD77EA874C1D7EA6976A3BC23FDEDA3A573B5B4BBE1B9CBB47B2DBDC2N" TargetMode = "External"/>
	<Relationship Id="rId28" Type="http://schemas.openxmlformats.org/officeDocument/2006/relationships/hyperlink" Target="consultantplus://offline/ref=198A459CD779AC153406A95075B1285BD378AA779280E83823ADB92BADB7B3A13AE2B0A7E9A6D4B7652DD010BECBN" TargetMode = "External"/>
	<Relationship Id="rId29" Type="http://schemas.openxmlformats.org/officeDocument/2006/relationships/hyperlink" Target="consultantplus://offline/ref=198A459CD779AC153406A95075B1285BD37DA77D9080E83823ADB92BADB7B3A13AE2B0A7E9A6D4B7652DD010BECBN" TargetMode = "External"/>
	<Relationship Id="rId30" Type="http://schemas.openxmlformats.org/officeDocument/2006/relationships/hyperlink" Target="consultantplus://offline/ref=198A459CD779AC153406A95075B1285BD37DA67A9680E83823ADB92BADB7B3A13AE2B0A7E9A6D4B7652DD010BECBN" TargetMode = "External"/>
	<Relationship Id="rId31" Type="http://schemas.openxmlformats.org/officeDocument/2006/relationships/hyperlink" Target="consultantplus://offline/ref=198A459CD779AC153406A95075B1285BD67FAE7D9CDDE2307AA1BB2CA2E8B6B42BBABFACFEB9D4A8792FD2B1C0N" TargetMode = "External"/>
	<Relationship Id="rId32" Type="http://schemas.openxmlformats.org/officeDocument/2006/relationships/hyperlink" Target="consultantplus://offline/ref=198A459CD779AC153406A95075B1285BDA7FAA7E9CDDE2307AA1BB2CA2E8B6B42BBABFACFEB9D4A8792FD2B1C0N" TargetMode = "External"/>
	<Relationship Id="rId33" Type="http://schemas.openxmlformats.org/officeDocument/2006/relationships/hyperlink" Target="consultantplus://offline/ref=198A459CD779AC153406A95075B1285BDA7FAB7A9CDDE2307AA1BB2CA2E8B6B42BBABFACFEB9D4A8792FD2B1C0N" TargetMode = "External"/>
	<Relationship Id="rId34" Type="http://schemas.openxmlformats.org/officeDocument/2006/relationships/hyperlink" Target="consultantplus://offline/ref=198A459CD779AC153406A95075B1285BD079A8799280E83823ADB92BADB7B3A13AE2B0A7E9A6D4B7652DD010BECBN" TargetMode = "External"/>
	<Relationship Id="rId35" Type="http://schemas.openxmlformats.org/officeDocument/2006/relationships/hyperlink" Target="consultantplus://offline/ref=198A459CD779AC153406A95075B1285BD479A77B9CDDE2307AA1BB2CA2E8B6B42BBABFACFEB9D4A8792FD2B1C0N" TargetMode = "External"/>
	<Relationship Id="rId36" Type="http://schemas.openxmlformats.org/officeDocument/2006/relationships/hyperlink" Target="consultantplus://offline/ref=198A459CD779AC153406A95075B1285BD77EAF74C1D7EA6976A3BC23FDEDA3A573B5B4BBE1B9CBB47B2DBDC2N" TargetMode = "External"/>
	<Relationship Id="rId37" Type="http://schemas.openxmlformats.org/officeDocument/2006/relationships/hyperlink" Target="consultantplus://offline/ref=198A459CD779AC153406A95075B1285BD37AAE7D9CDDE2307AA1BB2CA2E8B6B42BBABFACFEB9D4A8792FD2B1C0N" TargetMode = "External"/>
	<Relationship Id="rId38" Type="http://schemas.openxmlformats.org/officeDocument/2006/relationships/hyperlink" Target="consultantplus://offline/ref=198A459CD779AC153406A95075B1285BD379A8799CDDE2307AA1BB2CA2E8B6B42BBABFACFEB9D4A8792FD2B1C0N" TargetMode = "External"/>
	<Relationship Id="rId39" Type="http://schemas.openxmlformats.org/officeDocument/2006/relationships/hyperlink" Target="consultantplus://offline/ref=198A459CD779AC153406A95075B1285BDA73A674C1D7EA6976A3BC23FDEDA3A573B5B4BBE1B9CBB47B2DBDC2N" TargetMode = "External"/>
	<Relationship Id="rId40" Type="http://schemas.openxmlformats.org/officeDocument/2006/relationships/hyperlink" Target="consultantplus://offline/ref=198A459CD779AC153406A95075B1285BD07AAD7D9CDDE2307AA1BB2CA2E8B6B42BBABFACFEB9D4A8792FD2B1C0N" TargetMode = "External"/>
	<Relationship Id="rId41" Type="http://schemas.openxmlformats.org/officeDocument/2006/relationships/hyperlink" Target="consultantplus://offline/ref=198A459CD779AC153406A95075B1285BD178AA7F9CDDE2307AA1BB2CA2E8B6B42BBABFACFEB9D4A8792FD2B1C0N" TargetMode = "External"/>
	<Relationship Id="rId42" Type="http://schemas.openxmlformats.org/officeDocument/2006/relationships/hyperlink" Target="consultantplus://offline/ref=198A459CD779AC153406A95075B1285BD372A974C1D7EA6976A3BC23FDEDA3A573B5B4BBE1B9CBB47B2DBDC2N" TargetMode = "External"/>
	<Relationship Id="rId43" Type="http://schemas.openxmlformats.org/officeDocument/2006/relationships/hyperlink" Target="consultantplus://offline/ref=198A459CD779AC153406A95075B1285BD67EA77A9CDDE2307AA1BB2CA2E8B6B42BBABFACFEB9D4A8792FD2B1C0N" TargetMode = "External"/>
	<Relationship Id="rId44" Type="http://schemas.openxmlformats.org/officeDocument/2006/relationships/hyperlink" Target="consultantplus://offline/ref=198A459CD779AC153406A95075B1285BD67EA67C9CDDE2307AA1BB2CA2E8B6B42BBABFACFEB9D4A8792FD2B1C0N" TargetMode = "External"/>
	<Relationship Id="rId45" Type="http://schemas.openxmlformats.org/officeDocument/2006/relationships/hyperlink" Target="consultantplus://offline/ref=198A459CD779AC153406A95075B1285BD67DAB7E9CDDE2307AA1BB2CA2E8B6B42BBABFACFEB9D4A8792FD2B1C0N" TargetMode = "External"/>
	<Relationship Id="rId46" Type="http://schemas.openxmlformats.org/officeDocument/2006/relationships/hyperlink" Target="consultantplus://offline/ref=198A459CD779AC153406A95075B1285BD67DAB789CDDE2307AA1BB2CA2E8B6B42BBABFACFEB9D4A8792FD2B1C0N" TargetMode = "External"/>
	<Relationship Id="rId47" Type="http://schemas.openxmlformats.org/officeDocument/2006/relationships/hyperlink" Target="consultantplus://offline/ref=198A459CD779AC153406A95075B1285BD47FA67A9CDDE2307AA1BB2CA2E8B6B42BBABFACFEB9D4A8792FD2B1C0N" TargetMode = "External"/>
	<Relationship Id="rId48" Type="http://schemas.openxmlformats.org/officeDocument/2006/relationships/hyperlink" Target="consultantplus://offline/ref=198A459CD779AC153406A95075B1285BD47FA6799CDDE2307AA1BB2CA2E8B6B42BBABFACFEB9D4A8792FD2B1C0N" TargetMode = "External"/>
	<Relationship Id="rId49" Type="http://schemas.openxmlformats.org/officeDocument/2006/relationships/hyperlink" Target="consultantplus://offline/ref=198A459CD779AC153406A95075B1285BD57EAA7C9CDDE2307AA1BB2CA2E8B6B42BBABFACFEB9D4A8792FD2B1C0N" TargetMode = "External"/>
	<Relationship Id="rId50" Type="http://schemas.openxmlformats.org/officeDocument/2006/relationships/hyperlink" Target="consultantplus://offline/ref=198A459CD779AC153406A95075B1285BD37CAA7D9480E83823ADB92BADB7B3A13AE2B0A7E9A6D4B7652DD010BECBN" TargetMode = "External"/>
	<Relationship Id="rId51" Type="http://schemas.openxmlformats.org/officeDocument/2006/relationships/hyperlink" Target="consultantplus://offline/ref=198A459CD779AC153406A95075B1285BD37CAC7F9280E83823ADB92BADB7B3A13AE2B0A7E9A6D4B7652DD010BECBN" TargetMode = "External"/>
	<Relationship Id="rId52" Type="http://schemas.openxmlformats.org/officeDocument/2006/relationships/hyperlink" Target="consultantplus://offline/ref=198A459CD779AC153406A95075B1285BD67FAE7D9CDDE2307AA1BB2CA2E8B6B42BBABFACFEB9D4A8792FD2B1C0N" TargetMode = "External"/>
	<Relationship Id="rId53" Type="http://schemas.openxmlformats.org/officeDocument/2006/relationships/hyperlink" Target="consultantplus://offline/ref=198A459CD779AC153406A95075B1285BD378A97C9780E83823ADB92BADB7B3A13AE2B0A7E9A6D4B7652DD010BECBN" TargetMode = "External"/>
	<Relationship Id="rId54" Type="http://schemas.openxmlformats.org/officeDocument/2006/relationships/hyperlink" Target="consultantplus://offline/ref=198A459CD779AC153406B55069B1285BD37EA67C9580E83823ADB92BADB7B3A13AE2B0A7E9A6D4B7652DD010BECBN" TargetMode = "External"/>
	<Relationship Id="rId55" Type="http://schemas.openxmlformats.org/officeDocument/2006/relationships/hyperlink" Target="consultantplus://offline/ref=198A459CD779AC153406A95075B1285BDA7FAB789CDDE2307AA1BB2CA2E8B6B42BBABFACFEB9D4A8792FD2B1C0N" TargetMode = "External"/>
	<Relationship Id="rId56" Type="http://schemas.openxmlformats.org/officeDocument/2006/relationships/hyperlink" Target="consultantplus://offline/ref=198A459CD779AC153406A95075B1285BD07FA9779680E83823ADB92BADB7B3A13AE2B0A7E9A6D4B7652DD010BECBN" TargetMode = "External"/>
	<Relationship Id="rId57" Type="http://schemas.openxmlformats.org/officeDocument/2006/relationships/hyperlink" Target="consultantplus://offline/ref=198A459CD779AC153406A95075B1285BDA7FAB789CDDE2307AA1BB2CA2E8B6B42BBABFACFEB9D4A8792FD2B1C0N" TargetMode = "External"/>
	<Relationship Id="rId58" Type="http://schemas.openxmlformats.org/officeDocument/2006/relationships/hyperlink" Target="consultantplus://offline/ref=198A459CD779AC153406A95075B1285BDA7CA7779CDDE2307AA1BB2CA2E8B6B42BBABFACFEB9D4A8792FD2B1C0N" TargetMode = "External"/>
	<Relationship Id="rId59" Type="http://schemas.openxmlformats.org/officeDocument/2006/relationships/hyperlink" Target="consultantplus://offline/ref=198A459CD779AC153406A95075B1285BD07FA9779680E83823ADB92BADB7B3A13AE2B0A7E9A6D4B7652DD010BECBN" TargetMode = "External"/>
	<Relationship Id="rId60" Type="http://schemas.openxmlformats.org/officeDocument/2006/relationships/hyperlink" Target="consultantplus://offline/ref=198A459CD779AC153406B55069B1285BD67AAA7E9CDDE2307AA1BB2CA2E8B6B42BBABFACFEB9D4A8792FD2B1C0N" TargetMode = "External"/>
	<Relationship Id="rId61" Type="http://schemas.openxmlformats.org/officeDocument/2006/relationships/hyperlink" Target="consultantplus://offline/ref=198A459CD779AC153406B55069B1285BD678A87E9CDDE2307AA1BB2CA2E8B6B42BBABFACFEB9D4A8792FD2B1C0N" TargetMode = "External"/>
	<Relationship Id="rId62" Type="http://schemas.openxmlformats.org/officeDocument/2006/relationships/hyperlink" Target="consultantplus://offline/ref=198A459CD779AC153406B55069B1285BD67AAD7F9CDDE2307AA1BB2CA2E8B6B42BBABFACFEB9D4A8792FD2B1C0N" TargetMode = "External"/>
	<Relationship Id="rId63" Type="http://schemas.openxmlformats.org/officeDocument/2006/relationships/hyperlink" Target="consultantplus://offline/ref=198A459CD779AC153406B55069B1285BD17CAB74C1D7EA6976A3BC23FDEDA3A573B5B4BBE1B9CBB47B2DBDC2N" TargetMode = "External"/>
	<Relationship Id="rId64" Type="http://schemas.openxmlformats.org/officeDocument/2006/relationships/hyperlink" Target="consultantplus://offline/ref=198A459CD779AC153406B55069B1285BD77DA8789CDDE2307AA1BB2CA2E8B6B42BBABFACFEB9D4A8792FD2B1C0N" TargetMode = "External"/>
	<Relationship Id="rId65" Type="http://schemas.openxmlformats.org/officeDocument/2006/relationships/hyperlink" Target="consultantplus://offline/ref=198A459CD779AC153406A95075B1285BD079A8799280E83823ADB92BADB7B3A13AE2B0A7E9A6D4B7652DD010BECBN" TargetMode = "External"/>
	<Relationship Id="rId66" Type="http://schemas.openxmlformats.org/officeDocument/2006/relationships/hyperlink" Target="consultantplus://offline/ref=198A459CD779AC153406A95075B1285BD37BA67F9380E83823ADB92BADB7B3A13AE2B0A7E9A6D4B7652DD010BECBN" TargetMode = "External"/>
	<Relationship Id="rId67" Type="http://schemas.openxmlformats.org/officeDocument/2006/relationships/hyperlink" Target="consultantplus://offline/ref=198A459CD779AC153406A95075B1285BD079A8799280E83823ADB92BADB7B3A13AE2B0A7E9A6D4B7652DD010BECBN" TargetMode = "External"/>
	<Relationship Id="rId68" Type="http://schemas.openxmlformats.org/officeDocument/2006/relationships/hyperlink" Target="consultantplus://offline/ref=198A459CD779AC153406A95075B1285BDA7FAA7E9CDDE2307AA1BB2CA2E8B6B42BBABFACFEB9D4A8792FD2B1C0N" TargetMode = "External"/>
	<Relationship Id="rId69" Type="http://schemas.openxmlformats.org/officeDocument/2006/relationships/hyperlink" Target="consultantplus://offline/ref=198A459CD779AC153406A95075B1285BD37EAC7C9180E83823ADB92BADB7B3A13AE2B0A7E9A6D4B7652DD010BECBN" TargetMode = "External"/>
	<Relationship Id="rId70" Type="http://schemas.openxmlformats.org/officeDocument/2006/relationships/hyperlink" Target="consultantplus://offline/ref=198A459CD779AC153406A95075B1285BDA7EA7799CDDE2307AA1BB2CA2E8B6B42BBABFACFEB9D4A8792FD2B1C0N" TargetMode = "External"/>
	<Relationship Id="rId71" Type="http://schemas.openxmlformats.org/officeDocument/2006/relationships/hyperlink" Target="consultantplus://offline/ref=198A459CD779AC153406A95075B1285BDA7FAB7A9CDDE2307AA1BB2CA2E8B6B42BBABFACFEB9D4A8792FD2B1C0N" TargetMode = "External"/>
	<Relationship Id="rId72" Type="http://schemas.openxmlformats.org/officeDocument/2006/relationships/hyperlink" Target="consultantplus://offline/ref=198A459CD779AC153406A95075B1285BD37AAE7D9CDDE2307AA1BB2CA2E8B6B42BBABFACFEB9D4A8792FD2B1C0N" TargetMode = "External"/>
	<Relationship Id="rId73" Type="http://schemas.openxmlformats.org/officeDocument/2006/relationships/hyperlink" Target="consultantplus://offline/ref=198A459CD779AC153406A95075B1285BD77EA874C1D7EA6976A3BC23FDEDA3A573B5B4BBE1B9CBB47B2DBDC2N" TargetMode = "External"/>
	<Relationship Id="rId74" Type="http://schemas.openxmlformats.org/officeDocument/2006/relationships/hyperlink" Target="consultantplus://offline/ref=198A459CD779AC153406A95075B1285BD67EA77A9CDDE2307AA1BB2CA2E8B6B42BBABFACFEB9D4A8792FD2B1C0N" TargetMode = "External"/>
	<Relationship Id="rId75" Type="http://schemas.openxmlformats.org/officeDocument/2006/relationships/hyperlink" Target="consultantplus://offline/ref=198A459CD779AC153406A95075B1285BD07EA7799180E83823ADB92BADB7B3A13AE2B0A7E9A6D4B7652DD010BECBN" TargetMode = "External"/>
	<Relationship Id="rId76" Type="http://schemas.openxmlformats.org/officeDocument/2006/relationships/hyperlink" Target="consultantplus://offline/ref=198A459CD779AC153406A95075B1285BD07AAD7D9CDDE2307AA1BB2CA2E8B6B42BBABFACFEB9D4A8792FD2B1C0N" TargetMode = "External"/>
	<Relationship Id="rId77" Type="http://schemas.openxmlformats.org/officeDocument/2006/relationships/hyperlink" Target="consultantplus://offline/ref=198A459CD779AC153406A95075B1285BD37CAC7F9280E83823ADB92BADB7B3A13AE2B0A7E9A6D4B7652DD010BECBN" TargetMode = "External"/>
	<Relationship Id="rId78" Type="http://schemas.openxmlformats.org/officeDocument/2006/relationships/hyperlink" Target="consultantplus://offline/ref=198A459CD779AC153406A95075B1285BD37DA7799680E83823ADB92BADB7B3A13AE2B0A7E9A6D4B7652DD010BECBN" TargetMode = "External"/>
	<Relationship Id="rId79" Type="http://schemas.openxmlformats.org/officeDocument/2006/relationships/hyperlink" Target="consultantplus://offline/ref=198A459CD779AC153406A95075B1285BD378AA779280E83823ADB92BADB7B3A13AE2B0A7E9A6D4B7652DD010BECBN" TargetMode = "External"/>
	<Relationship Id="rId80" Type="http://schemas.openxmlformats.org/officeDocument/2006/relationships/hyperlink" Target="consultantplus://offline/ref=198A459CD779AC153406A95075B1285BD178AA7F9CDDE2307AA1BB2CA2E8B6B42BBABFACFEB9D4A8792FD2B1C0N" TargetMode = "External"/>
	<Relationship Id="rId81" Type="http://schemas.openxmlformats.org/officeDocument/2006/relationships/hyperlink" Target="consultantplus://offline/ref=198A459CD779AC153406A95075B1285BD67DAB7E9CDDE2307AA1BB2CA2E8B6B42BBABFACFEB9D4A8792FD2B1C0N" TargetMode = "External"/>
	<Relationship Id="rId82" Type="http://schemas.openxmlformats.org/officeDocument/2006/relationships/hyperlink" Target="consultantplus://offline/ref=198A459CD779AC153406A95075B1285BD37DA77D9080E83823ADB92BADB7B3A13AE2B0A7E9A6D4B7652DD010BECBN" TargetMode = "External"/>
	<Relationship Id="rId83" Type="http://schemas.openxmlformats.org/officeDocument/2006/relationships/hyperlink" Target="consultantplus://offline/ref=198A459CD779AC153406A95075B1285BD37DA67A9680E83823ADB92BADB7B3A13AE2B0A7E9A6D4B7652DD010BECBN" TargetMode = "External"/>
	<Relationship Id="rId84" Type="http://schemas.openxmlformats.org/officeDocument/2006/relationships/hyperlink" Target="consultantplus://offline/ref=198A459CD779AC153406A95075B1285BD372A974C1D7EA6976A3BC23FDEDA3A573B5B4BBE1B9CBB47B2DBDC2N" TargetMode = "External"/>
	<Relationship Id="rId85" Type="http://schemas.openxmlformats.org/officeDocument/2006/relationships/hyperlink" Target="consultantplus://offline/ref=198A459CD779AC153406A95075B1285BDA73A674C1D7EA6976A3BC23FDEDA3A573B5B4BBE1B9CBB47B2DBDC2N" TargetMode = "External"/>
	<Relationship Id="rId86" Type="http://schemas.openxmlformats.org/officeDocument/2006/relationships/hyperlink" Target="consultantplus://offline/ref=198A459CD779AC153406A95075B1285BD67DAB789CDDE2307AA1BB2CA2E8B6B42BBABFACFEB9D4A8792FD2B1C0N" TargetMode = "External"/>
	<Relationship Id="rId87" Type="http://schemas.openxmlformats.org/officeDocument/2006/relationships/hyperlink" Target="consultantplus://offline/ref=198A459CD779AC153406A95075B1285BD67EA67C9CDDE2307AA1BB2CA2E8B6B42BBABFACFEB9D4A8792FD2B1C0N" TargetMode = "External"/>
	<Relationship Id="rId88" Type="http://schemas.openxmlformats.org/officeDocument/2006/relationships/hyperlink" Target="consultantplus://offline/ref=198A459CD779AC153406A95075B1285BD479A77B9CDDE2307AA1BB2CA2E8B6B42BBABFACFEB9D4A8792FD2B1C0N" TargetMode = "External"/>
	<Relationship Id="rId89" Type="http://schemas.openxmlformats.org/officeDocument/2006/relationships/hyperlink" Target="consultantplus://offline/ref=198A459CD779AC153406A95075B1285BD479A77B9CDDE2307AA1BB2CA2E8B6B42BBABFACFEB9D4A8792FD2B1C0N" TargetMode = "External"/>
	<Relationship Id="rId90" Type="http://schemas.openxmlformats.org/officeDocument/2006/relationships/hyperlink" Target="consultantplus://offline/ref=198A459CD779AC153406A95075B1285BD37CAA7D9480E83823ADB92BADB7B3A13AE2B0A7E9A6D4B7652DD010BECBN" TargetMode = "External"/>
	<Relationship Id="rId91" Type="http://schemas.openxmlformats.org/officeDocument/2006/relationships/hyperlink" Target="consultantplus://offline/ref=198A459CD779AC153406A95075B1285BD77EAF74C1D7EA6976A3BC23FDEDA3A573B5B4BBE1B9CBB47B2DBDC2N" TargetMode = "External"/>
	<Relationship Id="rId92" Type="http://schemas.openxmlformats.org/officeDocument/2006/relationships/hyperlink" Target="consultantplus://offline/ref=198A459CD779AC153406A95075B1285BD379A8799CDDE2307AA1BB2CA2E8B6B42BBABFACFEB9D4A8792FD2B1C0N" TargetMode = "External"/>
	<Relationship Id="rId93" Type="http://schemas.openxmlformats.org/officeDocument/2006/relationships/hyperlink" Target="consultantplus://offline/ref=198A459CD779AC153406A95075B1285BD47FA67A9CDDE2307AA1BB2CA2E8B6B42BBABFACFEB9D4A8792FD2B1C0N" TargetMode = "External"/>
	<Relationship Id="rId94" Type="http://schemas.openxmlformats.org/officeDocument/2006/relationships/hyperlink" Target="consultantplus://offline/ref=198A459CD779AC153406A95075B1285BD47FA6799CDDE2307AA1BB2CA2E8B6B42BBABFACFEB9D4A8792FD2B1C0N" TargetMode = "External"/>
	<Relationship Id="rId95" Type="http://schemas.openxmlformats.org/officeDocument/2006/relationships/hyperlink" Target="consultantplus://offline/ref=198A459CD779AC153406A95075B1285BD57EAA7C9CDDE2307AA1BB2CA2E8B6B42BBABFACFEB9D4A8792FD2B1C0N" TargetMode = "External"/>
	<Relationship Id="rId96" Type="http://schemas.openxmlformats.org/officeDocument/2006/relationships/hyperlink" Target="consultantplus://offline/ref=198A459CD779AC153406A95075B1285BDA7FAB789CDDE2307AA1BB2CA2E8B6B42BBABFACFEB9D4A8792FD2B1C0N" TargetMode = "External"/>
	<Relationship Id="rId97" Type="http://schemas.openxmlformats.org/officeDocument/2006/relationships/hyperlink" Target="consultantplus://offline/ref=198A459CD779AC153406A95075B1285BD07FA9779680E83823ADB92BADB7B3A13AE2B0A7E9A6D4B7652DD010BECBN" TargetMode = "External"/>
	<Relationship Id="rId98" Type="http://schemas.openxmlformats.org/officeDocument/2006/relationships/hyperlink" Target="consultantplus://offline/ref=198A459CD779AC153406AA456CB1285BD172AD7D978FB5322BF4B529AAB8ECA43DF3B0A4E0B8D5B273248443ADEDC9514523F142145185BAB3CFN" TargetMode = "External"/>
	<Relationship Id="rId99" Type="http://schemas.openxmlformats.org/officeDocument/2006/relationships/hyperlink" Target="consultantplus://offline/ref=198A459CD779AC153406AA456CB1285BD073A77F9288B5322BF4B529AAB8ECA43DF3B0A4E0B8D5B47C248443ADEDC9514523F142145185BAB3CFN" TargetMode = "External"/>
	<Relationship Id="rId100" Type="http://schemas.openxmlformats.org/officeDocument/2006/relationships/hyperlink" Target="consultantplus://offline/ref=198A459CD779AC153406A3576EB1285BD07FA97F9180E83823ADB92BADB7B3B33ABABCA5E0B8D5BF707B8156BCB5C65A523CF15D085387BBCAN" TargetMode = "External"/>
	<Relationship Id="rId101" Type="http://schemas.openxmlformats.org/officeDocument/2006/relationships/hyperlink" Target="consultantplus://offline/ref=198A459CD779AC153406AA456CB1285BD17AAF7E978AB5322BF4B529AAB8ECA43DF3B0A4E0B8D5B772248443ADEDC9514523F142145185BAB3CFN" TargetMode = "External"/>
	<Relationship Id="rId102" Type="http://schemas.openxmlformats.org/officeDocument/2006/relationships/hyperlink" Target="consultantplus://offline/ref=198A459CD779AC153406AA456CB1285BD17FAC789F8BB5322BF4B529AAB8ECA43DF3B0A4E0B8D1BE7C248443ADEDC9514523F142145185BAB3C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7169-2017. Межгосударственный стандарт. Отруби пшеничные. Технические условия"
(введен в действие Приказом Росстандарта от 31.10.2017 N 1602-ст)</dc:title>
  <dcterms:created xsi:type="dcterms:W3CDTF">2022-11-29T13:01:59Z</dcterms:created>
</cp:coreProperties>
</file>