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"ГОСТ 28674-2019. Межгосударственный стандарт. Горох. Технические условия"</w:t>
              <w:br/>
              <w:t xml:space="preserve">(введен в действие Приказом Росстандарта от 15.10.2019 N 998-ст)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29.11.2022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right"/>
      </w:pPr>
      <w:r>
        <w:rPr>
          <w:sz w:val="20"/>
        </w:rPr>
        <w:t xml:space="preserve">Введен в действие</w:t>
      </w:r>
    </w:p>
    <w:p>
      <w:pPr>
        <w:pStyle w:val="0"/>
        <w:jc w:val="right"/>
      </w:pPr>
      <w:hyperlink w:history="0" r:id="rId7" w:tooltip="Приказ Росстандарта от 15.10.2019 N 998-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w:t>
      </w:r>
    </w:p>
    <w:p>
      <w:pPr>
        <w:pStyle w:val="0"/>
        <w:jc w:val="right"/>
      </w:pPr>
      <w:r>
        <w:rPr>
          <w:sz w:val="20"/>
        </w:rPr>
        <w:t xml:space="preserve">по техническому регулированию</w:t>
      </w:r>
    </w:p>
    <w:p>
      <w:pPr>
        <w:pStyle w:val="0"/>
        <w:jc w:val="right"/>
      </w:pPr>
      <w:r>
        <w:rPr>
          <w:sz w:val="20"/>
        </w:rPr>
        <w:t xml:space="preserve">и метрологии</w:t>
      </w:r>
    </w:p>
    <w:p>
      <w:pPr>
        <w:pStyle w:val="0"/>
        <w:jc w:val="right"/>
      </w:pPr>
      <w:r>
        <w:rPr>
          <w:sz w:val="20"/>
        </w:rPr>
        <w:t xml:space="preserve">от 15 октября 2019 г. N 998-ст</w:t>
      </w:r>
    </w:p>
    <w:p>
      <w:pPr>
        <w:pStyle w:val="0"/>
        <w:ind w:firstLine="540"/>
        <w:jc w:val="both"/>
      </w:pPr>
      <w:r>
        <w:rPr>
          <w:sz w:val="20"/>
        </w:rPr>
      </w:r>
    </w:p>
    <w:p>
      <w:pPr>
        <w:pStyle w:val="2"/>
        <w:jc w:val="center"/>
      </w:pPr>
      <w:r>
        <w:rPr>
          <w:sz w:val="20"/>
          <w:b w:val="on"/>
        </w:rPr>
        <w:t xml:space="preserve">МЕЖГОСУДАРСТВЕННЫЙ СТАНДАРТ</w:t>
      </w:r>
    </w:p>
    <w:p>
      <w:pPr>
        <w:pStyle w:val="2"/>
        <w:jc w:val="center"/>
      </w:pPr>
      <w:r>
        <w:rPr>
          <w:sz w:val="20"/>
        </w:rPr>
      </w:r>
    </w:p>
    <w:p>
      <w:pPr>
        <w:pStyle w:val="2"/>
        <w:jc w:val="center"/>
      </w:pPr>
      <w:r>
        <w:rPr>
          <w:sz w:val="20"/>
          <w:b w:val="on"/>
        </w:rPr>
        <w:t xml:space="preserve">ГОРОХ</w:t>
      </w:r>
    </w:p>
    <w:p>
      <w:pPr>
        <w:pStyle w:val="2"/>
        <w:jc w:val="center"/>
      </w:pPr>
      <w:r>
        <w:rPr>
          <w:sz w:val="20"/>
        </w:rPr>
      </w:r>
    </w:p>
    <w:p>
      <w:pPr>
        <w:pStyle w:val="2"/>
        <w:jc w:val="center"/>
      </w:pPr>
      <w:r>
        <w:rPr>
          <w:sz w:val="20"/>
          <w:b w:val="on"/>
        </w:rPr>
        <w:t xml:space="preserve">ТЕХНИЧЕСКИЕ УСЛОВИЯ</w:t>
      </w:r>
    </w:p>
    <w:p>
      <w:pPr>
        <w:pStyle w:val="2"/>
        <w:jc w:val="center"/>
      </w:pPr>
      <w:r>
        <w:rPr>
          <w:sz w:val="20"/>
        </w:rPr>
      </w:r>
    </w:p>
    <w:p>
      <w:pPr>
        <w:pStyle w:val="2"/>
        <w:jc w:val="center"/>
      </w:pPr>
      <w:r>
        <w:rPr>
          <w:sz w:val="20"/>
        </w:rPr>
        <w:t xml:space="preserve">Rea. Specifications</w:t>
      </w:r>
    </w:p>
    <w:p>
      <w:pPr>
        <w:pStyle w:val="2"/>
        <w:jc w:val="center"/>
      </w:pPr>
      <w:r>
        <w:rPr>
          <w:sz w:val="20"/>
        </w:rPr>
      </w:r>
    </w:p>
    <w:p>
      <w:pPr>
        <w:pStyle w:val="2"/>
        <w:jc w:val="center"/>
      </w:pPr>
      <w:r>
        <w:rPr>
          <w:sz w:val="20"/>
          <w:b w:val="on"/>
        </w:rPr>
        <w:t xml:space="preserve">ГОСТ 28674-2019</w:t>
      </w:r>
    </w:p>
    <w:p>
      <w:pPr>
        <w:pStyle w:val="0"/>
        <w:ind w:firstLine="540"/>
        <w:jc w:val="both"/>
      </w:pPr>
      <w:r>
        <w:rPr>
          <w:sz w:val="20"/>
        </w:rPr>
      </w:r>
    </w:p>
    <w:p>
      <w:pPr>
        <w:pStyle w:val="0"/>
        <w:jc w:val="right"/>
      </w:pPr>
      <w:r>
        <w:rPr>
          <w:sz w:val="20"/>
        </w:rPr>
        <w:t xml:space="preserve">МКС </w:t>
      </w:r>
      <w:hyperlink w:history="0" r:id="rId8" w:tooltip="&quot;МК (ИСО/ИНФКО МКС) 001-96. Межгосударственный классификатор стандартов&quot; (принят Межгосударственным Советом по стандартизации, метрологии и сертификации, протокол от 11 - 12.04.1996 N 9-96) (ред. от 07.06.2013) {КонсультантПлюс}">
        <w:r>
          <w:rPr>
            <w:sz w:val="20"/>
            <w:color w:val="0000ff"/>
          </w:rPr>
          <w:t xml:space="preserve">67.060</w:t>
        </w:r>
      </w:hyperlink>
    </w:p>
    <w:p>
      <w:pPr>
        <w:pStyle w:val="0"/>
        <w:ind w:firstLine="540"/>
        <w:jc w:val="both"/>
      </w:pPr>
      <w:r>
        <w:rPr>
          <w:sz w:val="20"/>
        </w:rPr>
      </w:r>
    </w:p>
    <w:p>
      <w:pPr>
        <w:pStyle w:val="0"/>
        <w:jc w:val="right"/>
      </w:pPr>
      <w:r>
        <w:rPr>
          <w:sz w:val="20"/>
          <w:b w:val="on"/>
        </w:rPr>
        <w:t xml:space="preserve">Дата введения</w:t>
      </w:r>
    </w:p>
    <w:p>
      <w:pPr>
        <w:pStyle w:val="0"/>
        <w:jc w:val="right"/>
      </w:pPr>
      <w:r>
        <w:rPr>
          <w:sz w:val="20"/>
          <w:b w:val="on"/>
        </w:rPr>
        <w:t xml:space="preserve">1 ноября 2020 года</w:t>
      </w:r>
    </w:p>
    <w:p>
      <w:pPr>
        <w:pStyle w:val="0"/>
        <w:ind w:firstLine="540"/>
        <w:jc w:val="both"/>
      </w:pPr>
      <w:r>
        <w:rPr>
          <w:sz w:val="20"/>
        </w:rPr>
      </w:r>
    </w:p>
    <w:bookmarkStart w:id="22" w:name="P22"/>
    <w:bookmarkEnd w:id="22"/>
    <w:p>
      <w:pPr>
        <w:pStyle w:val="2"/>
        <w:outlineLvl w:val="1"/>
        <w:jc w:val="center"/>
      </w:pPr>
      <w:r>
        <w:rPr>
          <w:sz w:val="20"/>
          <w:b w:val="on"/>
        </w:rPr>
        <w:t xml:space="preserve">Предисловие</w:t>
      </w:r>
    </w:p>
    <w:p>
      <w:pPr>
        <w:pStyle w:val="0"/>
        <w:ind w:firstLine="540"/>
        <w:jc w:val="both"/>
      </w:pPr>
      <w:r>
        <w:rPr>
          <w:sz w:val="20"/>
        </w:rPr>
      </w:r>
    </w:p>
    <w:p>
      <w:pPr>
        <w:pStyle w:val="0"/>
        <w:ind w:firstLine="540"/>
        <w:jc w:val="both"/>
      </w:pPr>
      <w:r>
        <w:rPr>
          <w:sz w:val="20"/>
        </w:rPr>
        <w:t xml:space="preserve">Цели, основные принципы и общие правила проведения работ по межгосударственной стандартизации установлены </w:t>
      </w:r>
      <w:hyperlink w:history="0" r:id="rId9" w:tooltip="&quot;ГОСТ 1.0-2015. Межгосударственный стандарт. Межгосударственная система стандартизации. Основные положения&quot; (введен в действие Приказом Росстандарта от 11.12.2015 N 2156-ст) {КонсультантПлюс}">
        <w:r>
          <w:rPr>
            <w:sz w:val="20"/>
            <w:color w:val="0000ff"/>
          </w:rPr>
          <w:t xml:space="preserve">ГОСТ 1.0</w:t>
        </w:r>
      </w:hyperlink>
      <w:r>
        <w:rPr>
          <w:sz w:val="20"/>
        </w:rPr>
        <w:t xml:space="preserve"> "Межгосударственная система стандартизации. Основные положения" и </w:t>
      </w:r>
      <w:hyperlink w:history="0" r:id="rId10" w:tooltip="&quot;ГОСТ 1.2-2015. Межгосударственный стандарт.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quot; (введен в действие Приказом Росстандарта от 11.12.2015 N 2157-ст) (ред. от 28.12.2018) {КонсультантПлюс}">
        <w:r>
          <w:rPr>
            <w:sz w:val="20"/>
            <w:color w:val="0000ff"/>
          </w:rPr>
          <w:t xml:space="preserve">ГОСТ 1.2</w:t>
        </w:r>
      </w:hyperlink>
      <w:r>
        <w:rPr>
          <w:sz w:val="20"/>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pPr>
        <w:pStyle w:val="0"/>
        <w:ind w:firstLine="540"/>
        <w:jc w:val="both"/>
      </w:pPr>
      <w:r>
        <w:rPr>
          <w:sz w:val="20"/>
        </w:rPr>
      </w:r>
    </w:p>
    <w:p>
      <w:pPr>
        <w:pStyle w:val="2"/>
        <w:outlineLvl w:val="1"/>
        <w:ind w:firstLine="540"/>
        <w:jc w:val="both"/>
      </w:pPr>
      <w:r>
        <w:rPr>
          <w:sz w:val="20"/>
          <w:b w:val="on"/>
        </w:rPr>
        <w:t xml:space="preserve">Сведения о стандарте</w:t>
      </w:r>
    </w:p>
    <w:p>
      <w:pPr>
        <w:pStyle w:val="0"/>
        <w:ind w:firstLine="540"/>
        <w:jc w:val="both"/>
      </w:pPr>
      <w:r>
        <w:rPr>
          <w:sz w:val="20"/>
        </w:rPr>
      </w:r>
    </w:p>
    <w:p>
      <w:pPr>
        <w:pStyle w:val="0"/>
        <w:ind w:firstLine="540"/>
        <w:jc w:val="both"/>
      </w:pPr>
      <w:r>
        <w:rPr>
          <w:sz w:val="20"/>
        </w:rPr>
        <w:t xml:space="preserve">1 РАЗРАБОТАН Всероссийским научно-исследовательским институтом зерна и продуктов его переработки - филиалом Федерального государственного бюджетного научного учреждения "Федеральный научный центр пищевых систем им. В.М. Горбатова" РАН (ВНИИЗ - филиал ФГБНУ "ФНЦ пищевых систем им. В.М. Горбатова" РАН)</w:t>
      </w:r>
    </w:p>
    <w:p>
      <w:pPr>
        <w:pStyle w:val="0"/>
        <w:spacing w:before="200" w:line-rule="auto"/>
        <w:ind w:firstLine="540"/>
        <w:jc w:val="both"/>
      </w:pPr>
      <w:r>
        <w:rPr>
          <w:sz w:val="20"/>
        </w:rPr>
        <w:t xml:space="preserve">2 ВНЕСЕН Федеральным агентством по техническому регулированию и метрологии</w:t>
      </w:r>
    </w:p>
    <w:p>
      <w:pPr>
        <w:pStyle w:val="0"/>
        <w:spacing w:before="200" w:line-rule="auto"/>
        <w:ind w:firstLine="540"/>
        <w:jc w:val="both"/>
      </w:pPr>
      <w:r>
        <w:rPr>
          <w:sz w:val="20"/>
        </w:rPr>
        <w:t xml:space="preserve">3 ПРИНЯТ Межгосударственным советом по стандартизации, метрологии и сертификации (протокол от 30 сентября 2019 г. N 122-П)</w:t>
      </w:r>
    </w:p>
    <w:p>
      <w:pPr>
        <w:pStyle w:val="0"/>
        <w:spacing w:before="200" w:line-rule="auto"/>
        <w:ind w:firstLine="540"/>
        <w:jc w:val="both"/>
      </w:pPr>
      <w:r>
        <w:rPr>
          <w:sz w:val="20"/>
        </w:rPr>
        <w:t xml:space="preserve">За принятие проголосовали: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551"/>
        <w:gridCol w:w="1474"/>
        <w:gridCol w:w="5046"/>
      </w:tblGrid>
      <w:tr>
        <w:tblPrEx>
          <w:tblBorders>
            <w:insideH w:val="single" w:sz="4"/>
          </w:tblBorders>
        </w:tblPrEx>
        <w:tc>
          <w:tcPr>
            <w:tcW w:w="2551" w:type="dxa"/>
            <w:vAlign w:val="center"/>
            <w:tcBorders>
              <w:top w:val="single" w:sz="4"/>
              <w:bottom w:val="single" w:sz="4"/>
            </w:tcBorders>
          </w:tcPr>
          <w:p>
            <w:pPr>
              <w:pStyle w:val="0"/>
              <w:jc w:val="center"/>
            </w:pPr>
            <w:r>
              <w:rPr>
                <w:sz w:val="20"/>
              </w:rPr>
              <w:t xml:space="preserve">Краткое наименование страны по МК (ИСО 3166) 004-97</w:t>
            </w:r>
          </w:p>
        </w:tc>
        <w:tc>
          <w:tcPr>
            <w:tcW w:w="1474" w:type="dxa"/>
            <w:vAlign w:val="center"/>
            <w:tcBorders>
              <w:top w:val="single" w:sz="4"/>
              <w:bottom w:val="single" w:sz="4"/>
            </w:tcBorders>
          </w:tcPr>
          <w:p>
            <w:pPr>
              <w:pStyle w:val="0"/>
              <w:jc w:val="center"/>
            </w:pPr>
            <w:r>
              <w:rPr>
                <w:sz w:val="20"/>
              </w:rPr>
              <w:t xml:space="preserve">Код страны по МК (ИСО 3166) 004-97</w:t>
            </w:r>
          </w:p>
        </w:tc>
        <w:tc>
          <w:tcPr>
            <w:tcW w:w="5046" w:type="dxa"/>
            <w:vAlign w:val="center"/>
            <w:tcBorders>
              <w:top w:val="single" w:sz="4"/>
              <w:bottom w:val="single" w:sz="4"/>
            </w:tcBorders>
          </w:tcPr>
          <w:p>
            <w:pPr>
              <w:pStyle w:val="0"/>
              <w:jc w:val="center"/>
            </w:pPr>
            <w:r>
              <w:rPr>
                <w:sz w:val="20"/>
              </w:rPr>
              <w:t xml:space="preserve">Сокращенное наименование национального органа по стандартизации</w:t>
            </w:r>
          </w:p>
        </w:tc>
      </w:tr>
      <w:tr>
        <w:tc>
          <w:tcPr>
            <w:tcW w:w="2551" w:type="dxa"/>
            <w:tcBorders>
              <w:top w:val="single" w:sz="4"/>
              <w:bottom w:val="nil"/>
            </w:tcBorders>
          </w:tcPr>
          <w:p>
            <w:pPr>
              <w:pStyle w:val="0"/>
            </w:pPr>
            <w:r>
              <w:rPr>
                <w:sz w:val="20"/>
              </w:rPr>
              <w:t xml:space="preserve">Армения</w:t>
            </w:r>
          </w:p>
        </w:tc>
        <w:tc>
          <w:tcPr>
            <w:tcW w:w="1474" w:type="dxa"/>
            <w:tcBorders>
              <w:top w:val="single" w:sz="4"/>
              <w:bottom w:val="nil"/>
            </w:tcBorders>
          </w:tcPr>
          <w:p>
            <w:pPr>
              <w:pStyle w:val="0"/>
              <w:jc w:val="center"/>
            </w:pPr>
            <w:r>
              <w:rPr>
                <w:sz w:val="20"/>
              </w:rPr>
              <w:t xml:space="preserve">AM</w:t>
            </w:r>
          </w:p>
        </w:tc>
        <w:tc>
          <w:tcPr>
            <w:tcW w:w="5046" w:type="dxa"/>
            <w:tcBorders>
              <w:top w:val="single" w:sz="4"/>
              <w:bottom w:val="nil"/>
            </w:tcBorders>
          </w:tcPr>
          <w:p>
            <w:pPr>
              <w:pStyle w:val="0"/>
            </w:pPr>
            <w:r>
              <w:rPr>
                <w:sz w:val="20"/>
              </w:rPr>
              <w:t xml:space="preserve">Минэкономики Республики Армения</w:t>
            </w:r>
          </w:p>
        </w:tc>
      </w:tr>
      <w:tr>
        <w:tc>
          <w:tcPr>
            <w:tcW w:w="2551" w:type="dxa"/>
            <w:tcBorders>
              <w:top w:val="nil"/>
              <w:bottom w:val="nil"/>
            </w:tcBorders>
          </w:tcPr>
          <w:p>
            <w:pPr>
              <w:pStyle w:val="0"/>
            </w:pPr>
            <w:r>
              <w:rPr>
                <w:sz w:val="20"/>
              </w:rPr>
              <w:t xml:space="preserve">Беларусь</w:t>
            </w:r>
          </w:p>
        </w:tc>
        <w:tc>
          <w:tcPr>
            <w:tcW w:w="1474" w:type="dxa"/>
            <w:tcBorders>
              <w:top w:val="nil"/>
              <w:bottom w:val="nil"/>
            </w:tcBorders>
          </w:tcPr>
          <w:p>
            <w:pPr>
              <w:pStyle w:val="0"/>
              <w:jc w:val="center"/>
            </w:pPr>
            <w:r>
              <w:rPr>
                <w:sz w:val="20"/>
              </w:rPr>
              <w:t xml:space="preserve">BY</w:t>
            </w:r>
          </w:p>
        </w:tc>
        <w:tc>
          <w:tcPr>
            <w:tcW w:w="5046" w:type="dxa"/>
            <w:tcBorders>
              <w:top w:val="nil"/>
              <w:bottom w:val="nil"/>
            </w:tcBorders>
          </w:tcPr>
          <w:p>
            <w:pPr>
              <w:pStyle w:val="0"/>
            </w:pPr>
            <w:r>
              <w:rPr>
                <w:sz w:val="20"/>
              </w:rPr>
              <w:t xml:space="preserve">Госстандарт Республики Беларусь</w:t>
            </w:r>
          </w:p>
        </w:tc>
      </w:tr>
      <w:tr>
        <w:tc>
          <w:tcPr>
            <w:tcW w:w="2551" w:type="dxa"/>
            <w:tcBorders>
              <w:top w:val="nil"/>
              <w:bottom w:val="nil"/>
            </w:tcBorders>
          </w:tcPr>
          <w:p>
            <w:pPr>
              <w:pStyle w:val="0"/>
            </w:pPr>
            <w:r>
              <w:rPr>
                <w:sz w:val="20"/>
              </w:rPr>
              <w:t xml:space="preserve">Казахстан</w:t>
            </w:r>
          </w:p>
        </w:tc>
        <w:tc>
          <w:tcPr>
            <w:tcW w:w="1474" w:type="dxa"/>
            <w:tcBorders>
              <w:top w:val="nil"/>
              <w:bottom w:val="nil"/>
            </w:tcBorders>
          </w:tcPr>
          <w:p>
            <w:pPr>
              <w:pStyle w:val="0"/>
              <w:jc w:val="center"/>
            </w:pPr>
            <w:r>
              <w:rPr>
                <w:sz w:val="20"/>
              </w:rPr>
              <w:t xml:space="preserve">KZ</w:t>
            </w:r>
          </w:p>
        </w:tc>
        <w:tc>
          <w:tcPr>
            <w:tcW w:w="5046" w:type="dxa"/>
            <w:tcBorders>
              <w:top w:val="nil"/>
              <w:bottom w:val="nil"/>
            </w:tcBorders>
          </w:tcPr>
          <w:p>
            <w:pPr>
              <w:pStyle w:val="0"/>
            </w:pPr>
            <w:r>
              <w:rPr>
                <w:sz w:val="20"/>
              </w:rPr>
              <w:t xml:space="preserve">Госстандарт Республики Казахстан</w:t>
            </w:r>
          </w:p>
        </w:tc>
      </w:tr>
      <w:tr>
        <w:tc>
          <w:tcPr>
            <w:tcW w:w="2551" w:type="dxa"/>
            <w:tcBorders>
              <w:top w:val="nil"/>
              <w:bottom w:val="nil"/>
            </w:tcBorders>
          </w:tcPr>
          <w:p>
            <w:pPr>
              <w:pStyle w:val="0"/>
            </w:pPr>
            <w:r>
              <w:rPr>
                <w:sz w:val="20"/>
              </w:rPr>
              <w:t xml:space="preserve">Киргизия</w:t>
            </w:r>
          </w:p>
        </w:tc>
        <w:tc>
          <w:tcPr>
            <w:tcW w:w="1474" w:type="dxa"/>
            <w:tcBorders>
              <w:top w:val="nil"/>
              <w:bottom w:val="nil"/>
            </w:tcBorders>
          </w:tcPr>
          <w:p>
            <w:pPr>
              <w:pStyle w:val="0"/>
              <w:jc w:val="center"/>
            </w:pPr>
            <w:r>
              <w:rPr>
                <w:sz w:val="20"/>
              </w:rPr>
              <w:t xml:space="preserve">KG</w:t>
            </w:r>
          </w:p>
        </w:tc>
        <w:tc>
          <w:tcPr>
            <w:tcW w:w="5046" w:type="dxa"/>
            <w:tcBorders>
              <w:top w:val="nil"/>
              <w:bottom w:val="nil"/>
            </w:tcBorders>
          </w:tcPr>
          <w:p>
            <w:pPr>
              <w:pStyle w:val="0"/>
            </w:pPr>
            <w:r>
              <w:rPr>
                <w:sz w:val="20"/>
              </w:rPr>
              <w:t xml:space="preserve">Кыргызстандарт</w:t>
            </w:r>
          </w:p>
        </w:tc>
      </w:tr>
      <w:tr>
        <w:tc>
          <w:tcPr>
            <w:tcW w:w="2551" w:type="dxa"/>
            <w:tcBorders>
              <w:top w:val="nil"/>
              <w:bottom w:val="nil"/>
            </w:tcBorders>
          </w:tcPr>
          <w:p>
            <w:pPr>
              <w:pStyle w:val="0"/>
            </w:pPr>
            <w:r>
              <w:rPr>
                <w:sz w:val="20"/>
              </w:rPr>
              <w:t xml:space="preserve">Россия</w:t>
            </w:r>
          </w:p>
        </w:tc>
        <w:tc>
          <w:tcPr>
            <w:tcW w:w="1474" w:type="dxa"/>
            <w:tcBorders>
              <w:top w:val="nil"/>
              <w:bottom w:val="nil"/>
            </w:tcBorders>
          </w:tcPr>
          <w:p>
            <w:pPr>
              <w:pStyle w:val="0"/>
              <w:jc w:val="center"/>
            </w:pPr>
            <w:r>
              <w:rPr>
                <w:sz w:val="20"/>
              </w:rPr>
              <w:t xml:space="preserve">RU</w:t>
            </w:r>
          </w:p>
        </w:tc>
        <w:tc>
          <w:tcPr>
            <w:tcW w:w="5046" w:type="dxa"/>
            <w:tcBorders>
              <w:top w:val="nil"/>
              <w:bottom w:val="nil"/>
            </w:tcBorders>
          </w:tcPr>
          <w:p>
            <w:pPr>
              <w:pStyle w:val="0"/>
            </w:pPr>
            <w:r>
              <w:rPr>
                <w:sz w:val="20"/>
              </w:rPr>
              <w:t xml:space="preserve">Росстандарт</w:t>
            </w:r>
          </w:p>
        </w:tc>
      </w:tr>
      <w:tr>
        <w:tc>
          <w:tcPr>
            <w:tcW w:w="2551" w:type="dxa"/>
            <w:tcBorders>
              <w:top w:val="nil"/>
              <w:bottom w:val="nil"/>
            </w:tcBorders>
          </w:tcPr>
          <w:p>
            <w:pPr>
              <w:pStyle w:val="0"/>
            </w:pPr>
            <w:r>
              <w:rPr>
                <w:sz w:val="20"/>
              </w:rPr>
              <w:t xml:space="preserve">Туркмения</w:t>
            </w:r>
          </w:p>
        </w:tc>
        <w:tc>
          <w:tcPr>
            <w:tcW w:w="1474" w:type="dxa"/>
            <w:tcBorders>
              <w:top w:val="nil"/>
              <w:bottom w:val="nil"/>
            </w:tcBorders>
          </w:tcPr>
          <w:p>
            <w:pPr>
              <w:pStyle w:val="0"/>
              <w:jc w:val="center"/>
            </w:pPr>
            <w:r>
              <w:rPr>
                <w:sz w:val="20"/>
              </w:rPr>
              <w:t xml:space="preserve">TM</w:t>
            </w:r>
          </w:p>
        </w:tc>
        <w:tc>
          <w:tcPr>
            <w:tcW w:w="5046" w:type="dxa"/>
            <w:tcBorders>
              <w:top w:val="nil"/>
              <w:bottom w:val="nil"/>
            </w:tcBorders>
          </w:tcPr>
          <w:p>
            <w:pPr>
              <w:pStyle w:val="0"/>
            </w:pPr>
            <w:r>
              <w:rPr>
                <w:sz w:val="20"/>
              </w:rPr>
              <w:t xml:space="preserve">Главгосслужба "Туркменстандартлары"</w:t>
            </w:r>
          </w:p>
        </w:tc>
      </w:tr>
      <w:tr>
        <w:tc>
          <w:tcPr>
            <w:tcW w:w="2551" w:type="dxa"/>
            <w:tcBorders>
              <w:top w:val="nil"/>
              <w:bottom w:val="single" w:sz="4"/>
            </w:tcBorders>
          </w:tcPr>
          <w:p>
            <w:pPr>
              <w:pStyle w:val="0"/>
            </w:pPr>
            <w:r>
              <w:rPr>
                <w:sz w:val="20"/>
              </w:rPr>
              <w:t xml:space="preserve">Узбекистан</w:t>
            </w:r>
          </w:p>
        </w:tc>
        <w:tc>
          <w:tcPr>
            <w:tcW w:w="1474" w:type="dxa"/>
            <w:tcBorders>
              <w:top w:val="nil"/>
              <w:bottom w:val="single" w:sz="4"/>
            </w:tcBorders>
          </w:tcPr>
          <w:p>
            <w:pPr>
              <w:pStyle w:val="0"/>
              <w:jc w:val="center"/>
            </w:pPr>
            <w:r>
              <w:rPr>
                <w:sz w:val="20"/>
              </w:rPr>
              <w:t xml:space="preserve">UZ</w:t>
            </w:r>
          </w:p>
        </w:tc>
        <w:tc>
          <w:tcPr>
            <w:tcW w:w="5046" w:type="dxa"/>
            <w:tcBorders>
              <w:top w:val="nil"/>
              <w:bottom w:val="single" w:sz="4"/>
            </w:tcBorders>
          </w:tcPr>
          <w:p>
            <w:pPr>
              <w:pStyle w:val="0"/>
            </w:pPr>
            <w:r>
              <w:rPr>
                <w:sz w:val="20"/>
              </w:rPr>
              <w:t xml:space="preserve">Узстандарт</w:t>
            </w:r>
          </w:p>
        </w:tc>
      </w:tr>
    </w:tbl>
    <w:p>
      <w:pPr>
        <w:pStyle w:val="0"/>
        <w:ind w:firstLine="540"/>
        <w:jc w:val="both"/>
      </w:pPr>
      <w:r>
        <w:rPr>
          <w:sz w:val="20"/>
        </w:rPr>
      </w:r>
    </w:p>
    <w:p>
      <w:pPr>
        <w:pStyle w:val="0"/>
        <w:ind w:firstLine="540"/>
        <w:jc w:val="both"/>
      </w:pPr>
      <w:r>
        <w:rPr>
          <w:sz w:val="20"/>
        </w:rPr>
        <w:t xml:space="preserve">4 </w:t>
      </w:r>
      <w:hyperlink w:history="0" r:id="rId11" w:tooltip="Приказ Росстандарта от 15.10.2019 N 998-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15 октября 2019 г. N 998-ст межгосударственный стандарт ГОСТ 28674-2019 введен в действие в качестве национального стандарта Российской Федерации с 1 ноября 2020 г.</w:t>
      </w:r>
    </w:p>
    <w:p>
      <w:pPr>
        <w:pStyle w:val="0"/>
        <w:spacing w:before="200" w:line-rule="auto"/>
        <w:ind w:firstLine="540"/>
        <w:jc w:val="both"/>
      </w:pPr>
      <w:r>
        <w:rPr>
          <w:sz w:val="20"/>
        </w:rPr>
        <w:t xml:space="preserve">5 ВЗАМЕН </w:t>
      </w:r>
      <w:hyperlink w:history="0" r:id="rId12" w:tooltip="&quot;ГОСТ 28674-90. Государственный стандарт Союза ССР. Горох. Требования при заготовках и поставках&quot; (утв. и введен в действие Постановлением Госстандарта СССР от 28.09.1990 N 2585) ------------ Утратил силу или отменен {КонсультантПлюс}">
        <w:r>
          <w:rPr>
            <w:sz w:val="20"/>
            <w:color w:val="0000ff"/>
          </w:rPr>
          <w:t xml:space="preserve">ГОСТ 28674-90</w:t>
        </w:r>
      </w:hyperlink>
    </w:p>
    <w:p>
      <w:pPr>
        <w:pStyle w:val="0"/>
        <w:ind w:firstLine="540"/>
        <w:jc w:val="both"/>
      </w:pPr>
      <w:r>
        <w:rPr>
          <w:sz w:val="20"/>
        </w:rPr>
      </w:r>
    </w:p>
    <w:p>
      <w:pPr>
        <w:pStyle w:val="0"/>
        <w:ind w:firstLine="540"/>
        <w:jc w:val="both"/>
      </w:pPr>
      <w:r>
        <w:rPr>
          <w:sz w:val="20"/>
          <w:i w:val="on"/>
        </w:rPr>
        <w:t xml:space="preserve">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pPr>
        <w:pStyle w:val="0"/>
        <w:spacing w:before="200" w:line-rule="auto"/>
        <w:ind w:firstLine="540"/>
        <w:jc w:val="both"/>
      </w:pPr>
      <w:r>
        <w:rPr>
          <w:sz w:val="20"/>
          <w:i w:val="on"/>
        </w:rPr>
        <w:t xml:space="preserve">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pPr>
        <w:pStyle w:val="0"/>
        <w:ind w:firstLine="540"/>
        <w:jc w:val="both"/>
      </w:pPr>
      <w:r>
        <w:rPr>
          <w:sz w:val="20"/>
        </w:rPr>
      </w:r>
    </w:p>
    <w:p>
      <w:pPr>
        <w:pStyle w:val="2"/>
        <w:outlineLvl w:val="1"/>
        <w:ind w:firstLine="540"/>
        <w:jc w:val="both"/>
      </w:pPr>
      <w:r>
        <w:rPr>
          <w:sz w:val="20"/>
          <w:b w:val="on"/>
        </w:rPr>
        <w:t xml:space="preserve">1 Область применения</w:t>
      </w:r>
    </w:p>
    <w:p>
      <w:pPr>
        <w:pStyle w:val="0"/>
        <w:ind w:firstLine="540"/>
        <w:jc w:val="both"/>
      </w:pPr>
      <w:r>
        <w:rPr>
          <w:sz w:val="20"/>
        </w:rPr>
      </w:r>
    </w:p>
    <w:p>
      <w:pPr>
        <w:pStyle w:val="0"/>
        <w:ind w:firstLine="540"/>
        <w:jc w:val="both"/>
      </w:pPr>
      <w:r>
        <w:rPr>
          <w:sz w:val="20"/>
        </w:rPr>
        <w:t xml:space="preserve">Настоящий стандарт распространяется на горох </w:t>
      </w:r>
      <w:r>
        <w:rPr>
          <w:sz w:val="20"/>
          <w:i w:val="on"/>
        </w:rPr>
        <w:t xml:space="preserve">(Pisum sativum)</w:t>
      </w:r>
      <w:r>
        <w:rPr>
          <w:sz w:val="20"/>
        </w:rPr>
        <w:t xml:space="preserve">.</w:t>
      </w:r>
    </w:p>
    <w:p>
      <w:pPr>
        <w:pStyle w:val="0"/>
        <w:ind w:firstLine="540"/>
        <w:jc w:val="both"/>
      </w:pPr>
      <w:r>
        <w:rPr>
          <w:sz w:val="20"/>
        </w:rPr>
      </w:r>
    </w:p>
    <w:p>
      <w:pPr>
        <w:pStyle w:val="2"/>
        <w:outlineLvl w:val="1"/>
        <w:ind w:firstLine="540"/>
        <w:jc w:val="both"/>
      </w:pPr>
      <w:r>
        <w:rPr>
          <w:sz w:val="20"/>
          <w:b w:val="on"/>
        </w:rPr>
        <w:t xml:space="preserve">2 Нормативные ссылки</w:t>
      </w:r>
    </w:p>
    <w:p>
      <w:pPr>
        <w:pStyle w:val="0"/>
        <w:ind w:firstLine="540"/>
        <w:jc w:val="both"/>
      </w:pPr>
      <w:r>
        <w:rPr>
          <w:sz w:val="20"/>
        </w:rPr>
      </w:r>
    </w:p>
    <w:p>
      <w:pPr>
        <w:pStyle w:val="0"/>
        <w:ind w:firstLine="540"/>
        <w:jc w:val="both"/>
      </w:pPr>
      <w:r>
        <w:rPr>
          <w:sz w:val="20"/>
        </w:rPr>
        <w:t xml:space="preserve">В настоящем стандарте использованы нормативные ссылки на следующие межгосударственные стандарты:</w:t>
      </w:r>
    </w:p>
    <w:p>
      <w:pPr>
        <w:pStyle w:val="0"/>
        <w:spacing w:before="200" w:line-rule="auto"/>
        <w:ind w:firstLine="540"/>
        <w:jc w:val="both"/>
      </w:pPr>
      <w:hyperlink w:history="0" r:id="rId13" w:tooltip="Ссылка на КонсультантПлюс">
        <w:r>
          <w:rPr>
            <w:sz w:val="20"/>
            <w:color w:val="0000ff"/>
          </w:rPr>
          <w:t xml:space="preserve">ГОСТ 12.1.004</w:t>
        </w:r>
      </w:hyperlink>
      <w:r>
        <w:rPr>
          <w:sz w:val="20"/>
        </w:rPr>
        <w:t xml:space="preserve"> Система стандартов безопасности труда. Пожарная безопасность. Общие требования</w:t>
      </w:r>
    </w:p>
    <w:p>
      <w:pPr>
        <w:pStyle w:val="0"/>
        <w:spacing w:before="200" w:line-rule="auto"/>
        <w:ind w:firstLine="540"/>
        <w:jc w:val="both"/>
      </w:pPr>
      <w:hyperlink w:history="0" r:id="rId14" w:tooltip="Ссылка на КонсультантПлюс">
        <w:r>
          <w:rPr>
            <w:sz w:val="20"/>
            <w:color w:val="0000ff"/>
          </w:rPr>
          <w:t xml:space="preserve">ГОСТ 12.1.005</w:t>
        </w:r>
      </w:hyperlink>
      <w:r>
        <w:rPr>
          <w:sz w:val="20"/>
        </w:rPr>
        <w:t xml:space="preserve"> Система стандартов безопасности труда. Общие санитарно-гигиенические требования к воздуху рабочей зоны</w:t>
      </w:r>
    </w:p>
    <w:p>
      <w:pPr>
        <w:pStyle w:val="0"/>
        <w:spacing w:before="200" w:line-rule="auto"/>
        <w:ind w:firstLine="540"/>
        <w:jc w:val="both"/>
      </w:pPr>
      <w:hyperlink w:history="0" r:id="rId15" w:tooltip="Ссылка на КонсультантПлюс">
        <w:r>
          <w:rPr>
            <w:sz w:val="20"/>
            <w:color w:val="0000ff"/>
          </w:rPr>
          <w:t xml:space="preserve">ГОСТ 12.2.003</w:t>
        </w:r>
      </w:hyperlink>
      <w:r>
        <w:rPr>
          <w:sz w:val="20"/>
        </w:rPr>
        <w:t xml:space="preserve"> Система стандартов безопасности труда. Оборудование производственное. Общие требования безопасности</w:t>
      </w:r>
    </w:p>
    <w:p>
      <w:pPr>
        <w:pStyle w:val="0"/>
        <w:spacing w:before="200" w:line-rule="auto"/>
        <w:ind w:firstLine="540"/>
        <w:jc w:val="both"/>
      </w:pPr>
      <w:hyperlink w:history="0" r:id="rId16" w:tooltip="Ссылка на КонсультантПлюс">
        <w:r>
          <w:rPr>
            <w:sz w:val="20"/>
            <w:color w:val="0000ff"/>
          </w:rPr>
          <w:t xml:space="preserve">ГОСТ 12.4.009</w:t>
        </w:r>
      </w:hyperlink>
      <w:r>
        <w:rPr>
          <w:sz w:val="20"/>
        </w:rPr>
        <w:t xml:space="preserve"> Система стандартов безопасности труда. Пожарная техника для защиты объектов. Основные виды. Размещение и обслуживание</w:t>
      </w:r>
    </w:p>
    <w:p>
      <w:pPr>
        <w:pStyle w:val="0"/>
        <w:spacing w:before="200" w:line-rule="auto"/>
        <w:ind w:firstLine="540"/>
        <w:jc w:val="both"/>
      </w:pPr>
      <w:hyperlink w:history="0" r:id="rId17" w:tooltip="Ссылка на КонсультантПлюс">
        <w:r>
          <w:rPr>
            <w:sz w:val="20"/>
            <w:color w:val="0000ff"/>
          </w:rPr>
          <w:t xml:space="preserve">ГОСТ 12.4.021</w:t>
        </w:r>
      </w:hyperlink>
      <w:r>
        <w:rPr>
          <w:sz w:val="20"/>
        </w:rPr>
        <w:t xml:space="preserve"> Система стандартов безопасности труда. Системы вентиляционные. Общие требования</w:t>
      </w:r>
    </w:p>
    <w:p>
      <w:pPr>
        <w:pStyle w:val="0"/>
        <w:spacing w:before="200" w:line-rule="auto"/>
        <w:ind w:firstLine="540"/>
        <w:jc w:val="both"/>
      </w:pPr>
      <w:hyperlink w:history="0" r:id="rId18" w:tooltip="&quot;ГОСТ 10940-64*. Государственный стандарт Союза ССР. Зерно. Методы определения типового состава&quot; (утв. Госстандартом СССР 27.06.1964) (ред. от 01.01.1986) {КонсультантПлюс}">
        <w:r>
          <w:rPr>
            <w:sz w:val="20"/>
            <w:color w:val="0000ff"/>
          </w:rPr>
          <w:t xml:space="preserve">ГОСТ 10940</w:t>
        </w:r>
      </w:hyperlink>
      <w:r>
        <w:rPr>
          <w:sz w:val="20"/>
        </w:rPr>
        <w:t xml:space="preserve"> Зерно. Методы определения типового состава</w:t>
      </w:r>
    </w:p>
    <w:p>
      <w:pPr>
        <w:pStyle w:val="0"/>
        <w:spacing w:before="200" w:line-rule="auto"/>
        <w:ind w:firstLine="540"/>
        <w:jc w:val="both"/>
      </w:pPr>
      <w:hyperlink w:history="0" r:id="rId19" w:tooltip="&quot;ГОСТ 10967-2019. Межгосударственный стандарт. Зерно. Методы определения запаха и цвета&quot; (введен в действие Приказом Росстандарта от 16.07.2019 N 389-ст) {КонсультантПлюс}">
        <w:r>
          <w:rPr>
            <w:sz w:val="20"/>
            <w:color w:val="0000ff"/>
          </w:rPr>
          <w:t xml:space="preserve">ГОСТ 10967</w:t>
        </w:r>
      </w:hyperlink>
      <w:r>
        <w:rPr>
          <w:sz w:val="20"/>
        </w:rPr>
        <w:t xml:space="preserve"> Зерно. Методы определения запаха и цвета</w:t>
      </w:r>
    </w:p>
    <w:p>
      <w:pPr>
        <w:pStyle w:val="0"/>
        <w:spacing w:before="200" w:line-rule="auto"/>
        <w:ind w:firstLine="540"/>
        <w:jc w:val="both"/>
      </w:pPr>
      <w:hyperlink w:history="0" r:id="rId20" w:tooltip="&quot;ГОСТ 13496.20-2014. Межгосударственный стандарт. Корма, комбикорма, комбикормовое сырье. Метод определения остаточных количеств пестицидов&quot; (введен в действие Приказом Росстандарта от 17.11.2014 N 1586-ст) (ред. от 10.08.2017) {КонсультантПлюс}">
        <w:r>
          <w:rPr>
            <w:sz w:val="20"/>
            <w:color w:val="0000ff"/>
          </w:rPr>
          <w:t xml:space="preserve">ГОСТ 13496.20</w:t>
        </w:r>
      </w:hyperlink>
      <w:r>
        <w:rPr>
          <w:sz w:val="20"/>
        </w:rPr>
        <w:t xml:space="preserve"> Комбикорма, комбикормовое сырье. Метод определения остаточных количеств пестицидов</w:t>
      </w:r>
    </w:p>
    <w:p>
      <w:pPr>
        <w:pStyle w:val="0"/>
        <w:spacing w:before="200" w:line-rule="auto"/>
        <w:ind w:firstLine="540"/>
        <w:jc w:val="both"/>
      </w:pPr>
      <w:hyperlink w:history="0" r:id="rId21"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 Зерно. Правила приемки и методы отбора проб</w:t>
      </w:r>
    </w:p>
    <w:p>
      <w:pPr>
        <w:pStyle w:val="0"/>
        <w:spacing w:before="200" w:line-rule="auto"/>
        <w:ind w:firstLine="540"/>
        <w:jc w:val="both"/>
      </w:pPr>
      <w:hyperlink w:history="0" r:id="rId22" w:tooltip="&quot;ГОСТ 13586.4-83. Государственный стандарт Союза ССР. Зерно. Методы определения зараженности и поврежденности вредителями&quot; (утв. и введен в действие Постановлением Госстандарта СССР от 23.05.1983 N 2300) (ред. от 22.09.1997) {КонсультантПлюс}">
        <w:r>
          <w:rPr>
            <w:sz w:val="20"/>
            <w:color w:val="0000ff"/>
          </w:rPr>
          <w:t xml:space="preserve">ГОСТ 13586.4</w:t>
        </w:r>
      </w:hyperlink>
      <w:r>
        <w:rPr>
          <w:sz w:val="20"/>
        </w:rPr>
        <w:t xml:space="preserve"> Зерно. Методы определения зараженности и поврежденности вредителями</w:t>
      </w:r>
    </w:p>
    <w:p>
      <w:pPr>
        <w:pStyle w:val="0"/>
        <w:spacing w:before="200" w:line-rule="auto"/>
        <w:ind w:firstLine="540"/>
        <w:jc w:val="both"/>
      </w:pPr>
      <w:hyperlink w:history="0" r:id="rId23" w:tooltip="&quot;ГОСТ 13586.5-2015. Межгосударственный стандарт. Зерно. Метод определения влажности&quot; (введен в действие Приказом Росстандарта от 31.08.2015 N 1237-ст) (ред. от 10.11.2021) {КонсультантПлюс}">
        <w:r>
          <w:rPr>
            <w:sz w:val="20"/>
            <w:color w:val="0000ff"/>
          </w:rPr>
          <w:t xml:space="preserve">ГОСТ 13586.5</w:t>
        </w:r>
      </w:hyperlink>
      <w:r>
        <w:rPr>
          <w:sz w:val="20"/>
        </w:rPr>
        <w:t xml:space="preserve"> Зерно. Метод определения влажности</w:t>
      </w:r>
    </w:p>
    <w:p>
      <w:pPr>
        <w:pStyle w:val="0"/>
        <w:spacing w:before="200" w:line-rule="auto"/>
        <w:ind w:firstLine="540"/>
        <w:jc w:val="both"/>
      </w:pPr>
      <w:hyperlink w:history="0" r:id="rId24" w:tooltip="&quot;ГОСТ 13586.6-93. Межгосударственный стандарт. Зерно. Методы определения зараженности вредителями&quot; (введен в действие Постановлением Госстандарта России от 02.06.1994 N 160) {КонсультантПлюс}">
        <w:r>
          <w:rPr>
            <w:sz w:val="20"/>
            <w:color w:val="0000ff"/>
          </w:rPr>
          <w:t xml:space="preserve">ГОСТ 13586.6</w:t>
        </w:r>
      </w:hyperlink>
      <w:r>
        <w:rPr>
          <w:sz w:val="20"/>
        </w:rPr>
        <w:t xml:space="preserve"> Зерно. Методы определения зараженности вредителями</w:t>
      </w:r>
    </w:p>
    <w:p>
      <w:pPr>
        <w:pStyle w:val="0"/>
        <w:spacing w:before="200" w:line-rule="auto"/>
        <w:ind w:firstLine="540"/>
        <w:jc w:val="both"/>
      </w:pPr>
      <w:hyperlink w:history="0" r:id="rId25" w:tooltip="&quot;ГОСТ EN 13804-2013. Межгосударственный стандарт. Продукты пищевые. Определение следовых элементов. Критерии эффективности методик выполнения измерений, общие положения и способы подготовки проб&quot; (введен в действие Приказом Росстандарта от 27.06.2013 N 238-ст) {КонсультантПлюс}">
        <w:r>
          <w:rPr>
            <w:sz w:val="20"/>
            <w:color w:val="0000ff"/>
          </w:rPr>
          <w:t xml:space="preserve">ГОСТ EN 13804</w:t>
        </w:r>
      </w:hyperlink>
      <w:r>
        <w:rPr>
          <w:sz w:val="20"/>
        </w:rPr>
        <w:t xml:space="preserve"> Продукты пищевые. Определение следовых элементов. Критерии эффективности методик выполнения измерений, общие положения и способы подготовки проб</w:t>
      </w:r>
    </w:p>
    <w:p>
      <w:pPr>
        <w:pStyle w:val="0"/>
        <w:spacing w:before="200" w:line-rule="auto"/>
        <w:ind w:firstLine="540"/>
        <w:jc w:val="both"/>
      </w:pPr>
      <w:hyperlink w:history="0" r:id="rId26" w:tooltip="&quot;ГОСТ EN 14083-2013. Межгосударственный стандарт.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quot; (введен в действие Приказом Росстандарта от 22.11.2013 N 1745-ст) {КонсультантПлюс}">
        <w:r>
          <w:rPr>
            <w:sz w:val="20"/>
            <w:color w:val="0000ff"/>
          </w:rPr>
          <w:t xml:space="preserve">ГОСТ EN 14083</w:t>
        </w:r>
      </w:hyperlink>
      <w:r>
        <w:rPr>
          <w:sz w:val="20"/>
        </w:rPr>
        <w:t xml:space="preserve">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w:t>
      </w:r>
    </w:p>
    <w:p>
      <w:pPr>
        <w:pStyle w:val="0"/>
        <w:spacing w:before="200" w:line-rule="auto"/>
        <w:ind w:firstLine="540"/>
        <w:jc w:val="both"/>
      </w:pPr>
      <w:r>
        <w:rPr>
          <w:sz w:val="20"/>
        </w:rPr>
        <w:t xml:space="preserve">ГОСТ EN 15891 Продукты пищевые. Определение дезоксиниваленола в продовольственном зерне, продуктах его переработки и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спектрофотометрического детектирования в ультрафиолетовой области спектра</w:t>
      </w:r>
    </w:p>
    <w:p>
      <w:pPr>
        <w:pStyle w:val="0"/>
        <w:spacing w:before="200" w:line-rule="auto"/>
        <w:ind w:firstLine="540"/>
        <w:jc w:val="both"/>
      </w:pPr>
      <w:r>
        <w:rPr>
          <w:sz w:val="20"/>
        </w:rPr>
        <w:t xml:space="preserve">ГОСТ ИСО 21569 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p>
      <w:pPr>
        <w:pStyle w:val="0"/>
        <w:spacing w:before="200" w:line-rule="auto"/>
        <w:ind w:firstLine="540"/>
        <w:jc w:val="both"/>
      </w:pPr>
      <w:r>
        <w:rPr>
          <w:sz w:val="20"/>
        </w:rPr>
        <w:t xml:space="preserve">ГОСТ ИСО 21570 &lt;*&gt; 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Российской Федерации действует </w:t>
      </w:r>
      <w:hyperlink w:history="0" r:id="rId27" w:tooltip="&quot;ГОСТ Р 53244-2008 (ИСО 21570:2005). Национальный стандарт Российской Федерации. 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quot; (утв. и введен в действие Приказом Ростехрегулирования от 25.12.2008 N 781-ст) {КонсультантПлюс}">
        <w:r>
          <w:rPr>
            <w:sz w:val="20"/>
            <w:color w:val="0000ff"/>
          </w:rPr>
          <w:t xml:space="preserve">ГОСТ Р 53244-2008</w:t>
        </w:r>
      </w:hyperlink>
      <w:r>
        <w:rPr>
          <w:sz w:val="20"/>
        </w:rPr>
        <w:t xml:space="preserve"> (ИСО 21570:2005) "Продукты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p>
      <w:pPr>
        <w:pStyle w:val="0"/>
        <w:ind w:firstLine="540"/>
        <w:jc w:val="both"/>
      </w:pPr>
      <w:r>
        <w:rPr>
          <w:sz w:val="20"/>
        </w:rPr>
      </w:r>
    </w:p>
    <w:p>
      <w:pPr>
        <w:pStyle w:val="0"/>
        <w:ind w:firstLine="540"/>
        <w:jc w:val="both"/>
      </w:pPr>
      <w:r>
        <w:rPr>
          <w:sz w:val="20"/>
        </w:rPr>
        <w:t xml:space="preserve">ГОСТ ИСО 21571 &lt;**&gt; 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Российской Федерации действует </w:t>
      </w:r>
      <w:hyperlink w:history="0" r:id="rId28" w:tooltip="&quot;ГОСТ Р ИСО 21571-2014. Национальный стандарт Российской Федерации. Продукты пищевые. Методы анализа для обнаружения генетически модифицированных организмов и полученных из них продуктов. Экстракция нуклеиновых кислот&quot; (утв. и введен в действие Приказом Росстандарта от 19.11.2014 N 1656-ст) {КонсультантПлюс}">
        <w:r>
          <w:rPr>
            <w:sz w:val="20"/>
            <w:color w:val="0000ff"/>
          </w:rPr>
          <w:t xml:space="preserve">ГОСТ Р ИСО 21571-2014</w:t>
        </w:r>
      </w:hyperlink>
      <w:r>
        <w:rPr>
          <w:sz w:val="20"/>
        </w:rPr>
        <w:t xml:space="preserve"> "Продукты пищевые. Методы анализа для обнаружения генетически модифицированных организмов и полученных из них продуктов. Экстракция нуклеиновых кислот".</w:t>
      </w:r>
    </w:p>
    <w:p>
      <w:pPr>
        <w:pStyle w:val="0"/>
        <w:ind w:firstLine="540"/>
        <w:jc w:val="both"/>
      </w:pPr>
      <w:r>
        <w:rPr>
          <w:sz w:val="20"/>
        </w:rPr>
      </w:r>
    </w:p>
    <w:p>
      <w:pPr>
        <w:pStyle w:val="0"/>
        <w:ind w:firstLine="540"/>
        <w:jc w:val="both"/>
      </w:pPr>
      <w:hyperlink w:history="0" r:id="rId29"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 Сырье и продукты пищевые. Методы определения ртути</w:t>
      </w:r>
    </w:p>
    <w:p>
      <w:pPr>
        <w:pStyle w:val="0"/>
        <w:spacing w:before="200" w:line-rule="auto"/>
        <w:ind w:firstLine="540"/>
        <w:jc w:val="both"/>
      </w:pPr>
      <w:hyperlink w:history="0" r:id="rId30"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w:t>
        </w:r>
      </w:hyperlink>
      <w:r>
        <w:rPr>
          <w:sz w:val="20"/>
        </w:rPr>
        <w:t xml:space="preserve"> Сырье и продукты пищевые. Подготовка проб. Минерализация для определения содержания токсичных элементов</w:t>
      </w:r>
    </w:p>
    <w:p>
      <w:pPr>
        <w:pStyle w:val="0"/>
        <w:spacing w:before="200" w:line-rule="auto"/>
        <w:ind w:firstLine="540"/>
        <w:jc w:val="both"/>
      </w:pPr>
      <w:hyperlink w:history="0" r:id="rId31"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Сырье и продукты пищевые. Метод определения мышьяка</w:t>
      </w:r>
    </w:p>
    <w:p>
      <w:pPr>
        <w:pStyle w:val="0"/>
        <w:spacing w:before="200" w:line-rule="auto"/>
        <w:ind w:firstLine="540"/>
        <w:jc w:val="both"/>
      </w:pPr>
      <w:hyperlink w:history="0" r:id="rId32"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 Сырье и продукты пищевые. Методы определения свинца</w:t>
      </w:r>
    </w:p>
    <w:p>
      <w:pPr>
        <w:pStyle w:val="0"/>
        <w:spacing w:before="200" w:line-rule="auto"/>
        <w:ind w:firstLine="540"/>
        <w:jc w:val="both"/>
      </w:pPr>
      <w:hyperlink w:history="0" r:id="rId33"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 Сырье и продукты пищевые. Методы определения кадмия</w:t>
      </w:r>
    </w:p>
    <w:p>
      <w:pPr>
        <w:pStyle w:val="0"/>
        <w:spacing w:before="200" w:line-rule="auto"/>
        <w:ind w:firstLine="540"/>
        <w:jc w:val="both"/>
      </w:pPr>
      <w:hyperlink w:history="0" r:id="rId34"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w:t>
        </w:r>
      </w:hyperlink>
      <w:r>
        <w:rPr>
          <w:sz w:val="20"/>
        </w:rPr>
        <w:t xml:space="preserve"> Зерно заготовляемое и поставляемое. Термины и определения</w:t>
      </w:r>
    </w:p>
    <w:p>
      <w:pPr>
        <w:pStyle w:val="0"/>
        <w:spacing w:before="200" w:line-rule="auto"/>
        <w:ind w:firstLine="540"/>
        <w:jc w:val="both"/>
      </w:pPr>
      <w:hyperlink w:history="0" r:id="rId35"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Зерно фуражное, продукты его переработки, комбикорма. Методы определения микотоксинов: Т-2 токсина, зеараленона (Ф-2) и охратоксина A</w:t>
      </w:r>
    </w:p>
    <w:p>
      <w:pPr>
        <w:pStyle w:val="0"/>
        <w:spacing w:before="200" w:line-rule="auto"/>
        <w:ind w:firstLine="540"/>
        <w:jc w:val="both"/>
      </w:pPr>
      <w:hyperlink w:history="0" r:id="rId36"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Сырье и продукты пищевые. Атомно-абсорбционный метод определения токсичных элементов</w:t>
      </w:r>
    </w:p>
    <w:p>
      <w:pPr>
        <w:pStyle w:val="0"/>
        <w:spacing w:before="200" w:line-rule="auto"/>
        <w:ind w:firstLine="540"/>
        <w:jc w:val="both"/>
      </w:pPr>
      <w:hyperlink w:history="0" r:id="rId37"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w:t>
        </w:r>
      </w:hyperlink>
      <w:r>
        <w:rPr>
          <w:sz w:val="20"/>
        </w:rPr>
        <w:t xml:space="preserve">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p>
      <w:pPr>
        <w:pStyle w:val="0"/>
        <w:spacing w:before="200" w:line-rule="auto"/>
        <w:ind w:firstLine="540"/>
        <w:jc w:val="both"/>
      </w:pPr>
      <w:hyperlink w:history="0" r:id="rId38"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Продукты пищевые. Методика определения токсичных элементов атомно-эмиссионным методом</w:t>
      </w:r>
    </w:p>
    <w:p>
      <w:pPr>
        <w:pStyle w:val="0"/>
        <w:spacing w:before="200" w:line-rule="auto"/>
        <w:ind w:firstLine="540"/>
        <w:jc w:val="both"/>
      </w:pPr>
      <w:hyperlink w:history="0" r:id="rId39"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 Продукты пищевые. Методы выявления и определения содержания афлатоксинов B1 и M1</w:t>
      </w:r>
    </w:p>
    <w:p>
      <w:pPr>
        <w:pStyle w:val="0"/>
        <w:spacing w:before="200" w:line-rule="auto"/>
        <w:ind w:firstLine="540"/>
        <w:jc w:val="both"/>
      </w:pPr>
      <w:hyperlink w:history="0" r:id="rId40"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w:t>
        </w:r>
      </w:hyperlink>
      <w:r>
        <w:rPr>
          <w:sz w:val="20"/>
        </w:rPr>
        <w:t xml:space="preserve"> Комбикорма, комбикормовое сырье. Метод определения остаточных количеств хлорорганических пестицидов</w:t>
      </w:r>
    </w:p>
    <w:p>
      <w:pPr>
        <w:pStyle w:val="0"/>
        <w:spacing w:before="200" w:line-rule="auto"/>
        <w:ind w:firstLine="540"/>
        <w:jc w:val="both"/>
      </w:pPr>
      <w:hyperlink w:history="0" r:id="rId41"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 Продукты пищевые и продовольственное сырье. Инверсионно-вольтамперометрический метод определения массовой концентрации мышьяка</w:t>
      </w:r>
    </w:p>
    <w:p>
      <w:pPr>
        <w:pStyle w:val="0"/>
        <w:spacing w:before="200" w:line-rule="auto"/>
        <w:ind w:firstLine="540"/>
        <w:jc w:val="both"/>
      </w:pPr>
      <w:hyperlink w:history="0" r:id="rId42" w:tooltip="&quot;ГОСТ 31650-2012. Межгосударственный стандарт. Средства лекарственные для животных, корма, кормовые добавки. Определение массовой доли ртути методом атомно-абсорбционной спектрометрии&quot; (введен в действие Приказом Росстандарта от 08.10.2012 N 473-ст) {КонсультантПлюс}">
        <w:r>
          <w:rPr>
            <w:sz w:val="20"/>
            <w:color w:val="0000ff"/>
          </w:rPr>
          <w:t xml:space="preserve">ГОСТ 31650</w:t>
        </w:r>
      </w:hyperlink>
      <w:r>
        <w:rPr>
          <w:sz w:val="20"/>
        </w:rPr>
        <w:t xml:space="preserve"> Средства лекарственные для животных, корма и кормовые добавки. Определение массовой доли ртути методом атомно-абсорбционной спектрометрии</w:t>
      </w:r>
    </w:p>
    <w:p>
      <w:pPr>
        <w:pStyle w:val="0"/>
        <w:spacing w:before="200" w:line-rule="auto"/>
        <w:ind w:firstLine="540"/>
        <w:jc w:val="both"/>
      </w:pPr>
      <w:hyperlink w:history="0" r:id="rId43"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w:t>
        </w:r>
      </w:hyperlink>
      <w:r>
        <w:rPr>
          <w:sz w:val="20"/>
        </w:rPr>
        <w:t xml:space="preserve"> Корма. Метод иммуноферментного определения микотоксинов</w:t>
      </w:r>
    </w:p>
    <w:p>
      <w:pPr>
        <w:pStyle w:val="0"/>
        <w:spacing w:before="200" w:line-rule="auto"/>
        <w:ind w:firstLine="540"/>
        <w:jc w:val="both"/>
      </w:pPr>
      <w:hyperlink w:history="0" r:id="rId44"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w:t>
        </w:r>
      </w:hyperlink>
      <w:r>
        <w:rPr>
          <w:sz w:val="20"/>
        </w:rPr>
        <w:t xml:space="preserve"> (EN 13805:2002) Продукты пищевые. Определение следовых элементов. Подготовка проб методом минерализации при повышенном давлении</w:t>
      </w:r>
    </w:p>
    <w:p>
      <w:pPr>
        <w:pStyle w:val="0"/>
        <w:spacing w:before="200" w:line-rule="auto"/>
        <w:ind w:firstLine="540"/>
        <w:jc w:val="both"/>
      </w:pPr>
      <w:hyperlink w:history="0" r:id="rId45"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w:t>
        </w:r>
      </w:hyperlink>
      <w:r>
        <w:rPr>
          <w:sz w:val="20"/>
        </w:rPr>
        <w:t xml:space="preserve"> Зерно и продукты его переработки, комбикорма. Определение содержания зеараленона методом высокоэффективной жидкостной хроматографии</w:t>
      </w:r>
    </w:p>
    <w:p>
      <w:pPr>
        <w:pStyle w:val="0"/>
        <w:spacing w:before="200" w:line-rule="auto"/>
        <w:ind w:firstLine="540"/>
        <w:jc w:val="both"/>
      </w:pPr>
      <w:hyperlink w:history="0" r:id="rId46"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w:t>
        </w:r>
      </w:hyperlink>
      <w:r>
        <w:rPr>
          <w:sz w:val="20"/>
        </w:rPr>
        <w:t xml:space="preserve"> (EN 14627:2005) Продукты пищевые. Определение следовых элементов. Определение общего мышьяка и селена методом атомно-абсорбционной спектрометрии с генерацией гибридов с предварительной минерализацией пробы под давлением</w:t>
      </w:r>
    </w:p>
    <w:p>
      <w:pPr>
        <w:pStyle w:val="0"/>
        <w:spacing w:before="200" w:line-rule="auto"/>
        <w:ind w:firstLine="540"/>
        <w:jc w:val="both"/>
      </w:pPr>
      <w:hyperlink w:history="0" r:id="rId47"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w:t>
        </w:r>
      </w:hyperlink>
      <w:r>
        <w:rPr>
          <w:sz w:val="20"/>
        </w:rPr>
        <w:t xml:space="preserve"> (ISO 16050:2003)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w:t>
      </w:r>
    </w:p>
    <w:p>
      <w:pPr>
        <w:pStyle w:val="0"/>
        <w:spacing w:before="200" w:line-rule="auto"/>
        <w:ind w:firstLine="540"/>
        <w:jc w:val="both"/>
      </w:pPr>
      <w:hyperlink w:history="0" r:id="rId48"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w:t>
        </w:r>
      </w:hyperlink>
      <w:r>
        <w:rPr>
          <w:sz w:val="20"/>
        </w:rPr>
        <w:t xml:space="preserve"> Продукты пищевые. Метод определения содержания цезия Cs-137</w:t>
      </w:r>
    </w:p>
    <w:p>
      <w:pPr>
        <w:pStyle w:val="0"/>
        <w:spacing w:before="200" w:line-rule="auto"/>
        <w:ind w:firstLine="540"/>
        <w:jc w:val="both"/>
      </w:pPr>
      <w:hyperlink w:history="0" r:id="rId49"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w:t>
        </w:r>
      </w:hyperlink>
      <w:r>
        <w:rPr>
          <w:sz w:val="20"/>
        </w:rPr>
        <w:t xml:space="preserve"> Продукты пищевые. Метод определения содержания стронция Sr-90</w:t>
      </w:r>
    </w:p>
    <w:p>
      <w:pPr>
        <w:pStyle w:val="0"/>
        <w:spacing w:before="200" w:line-rule="auto"/>
        <w:ind w:firstLine="540"/>
        <w:jc w:val="both"/>
      </w:pPr>
      <w:hyperlink w:history="0" r:id="rId50"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w:t>
        </w:r>
      </w:hyperlink>
      <w:r>
        <w:rPr>
          <w:sz w:val="20"/>
        </w:rPr>
        <w:t xml:space="preserve"> Продукты пищевые. Метод отбора проб для определения стронция Sr-90 и цезия Cs-137</w:t>
      </w:r>
    </w:p>
    <w:p>
      <w:pPr>
        <w:pStyle w:val="0"/>
        <w:spacing w:before="200" w:line-rule="auto"/>
        <w:ind w:firstLine="540"/>
        <w:jc w:val="both"/>
      </w:pPr>
      <w:hyperlink w:history="0" r:id="rId51"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w:t>
        </w:r>
      </w:hyperlink>
      <w:r>
        <w:rPr>
          <w:sz w:val="20"/>
        </w:rPr>
        <w:t xml:space="preserve"> Зерно и продукты его переработки, комбикорма. Определение охратоксина А методом высокоэффективной жидкостной хроматографии</w:t>
      </w:r>
    </w:p>
    <w:p>
      <w:pPr>
        <w:pStyle w:val="0"/>
        <w:spacing w:before="200" w:line-rule="auto"/>
        <w:ind w:firstLine="540"/>
        <w:jc w:val="both"/>
      </w:pPr>
      <w:hyperlink w:history="0" r:id="rId52" w:tooltip="&quot;ГОСТ 33303-2015. Межгосударственный стандарт. Продукты пищевые. Методы отбора проб для определения микотоксинов&quot; (введен в действие Приказом Росстандарта от 08.09.2015 N 1287-ст) {КонсультантПлюс}">
        <w:r>
          <w:rPr>
            <w:sz w:val="20"/>
            <w:color w:val="0000ff"/>
          </w:rPr>
          <w:t xml:space="preserve">ГОСТ 33303</w:t>
        </w:r>
      </w:hyperlink>
      <w:r>
        <w:rPr>
          <w:sz w:val="20"/>
        </w:rPr>
        <w:t xml:space="preserve"> Продукты пищевые. Методы отбора проб для определения микотоксинов</w:t>
      </w:r>
    </w:p>
    <w:p>
      <w:pPr>
        <w:pStyle w:val="0"/>
        <w:spacing w:before="200" w:line-rule="auto"/>
        <w:ind w:firstLine="540"/>
        <w:jc w:val="both"/>
      </w:pPr>
      <w:hyperlink w:history="0" r:id="rId53" w:tooltip="&quot;ГОСТ 33780-2016. Межгосударственный стандарт. Продукты пищевые, корма, комбикорма. Определение содержания афлатоксина B1 методом высокоэффективной жидкостной хроматографии с применением очистки на оксиде алюминия&quot; (введен в действие Приказом Росстандарта от 23.05.2016 N 374-ст) {КонсультантПлюс}">
        <w:r>
          <w:rPr>
            <w:sz w:val="20"/>
            <w:color w:val="0000ff"/>
          </w:rPr>
          <w:t xml:space="preserve">ГОСТ 33780</w:t>
        </w:r>
      </w:hyperlink>
      <w:r>
        <w:rPr>
          <w:sz w:val="20"/>
        </w:rPr>
        <w:t xml:space="preserve"> Продукты пищевые, корма, комбикорма. Определение содержания афлатоксина B1 методом высокоэффективной жидкостной хроматографии с применением очистки на оксиде алюминия</w:t>
      </w:r>
    </w:p>
    <w:p>
      <w:pPr>
        <w:pStyle w:val="0"/>
        <w:spacing w:before="200" w:line-rule="auto"/>
        <w:ind w:firstLine="540"/>
        <w:jc w:val="both"/>
      </w:pPr>
      <w:hyperlink w:history="0" r:id="rId54" w:tooltip="&quot;ГОСТ 34108-2017. Межгосударственный стандарт. Корма, комбикорма, комбикормовое сырье. Определение содержания микотоксинов прямым твердофазным конкурентным иммуноферментным методом&quot; (введен в действие Приказом Росстандарта от 15.09.2017 N 1137-ст) (ред. от 01.09.2021) {КонсультантПлюс}">
        <w:r>
          <w:rPr>
            <w:sz w:val="20"/>
            <w:color w:val="0000ff"/>
          </w:rPr>
          <w:t xml:space="preserve">ГОСТ 34108</w:t>
        </w:r>
      </w:hyperlink>
      <w:r>
        <w:rPr>
          <w:sz w:val="20"/>
        </w:rPr>
        <w:t xml:space="preserve"> Корма, комбикорма, комбикормовое сырье. Определение содержания микотоксинов прямым твердофазным конкурентным иммуноферментным методом</w:t>
      </w:r>
    </w:p>
    <w:p>
      <w:pPr>
        <w:pStyle w:val="0"/>
        <w:spacing w:before="200" w:line-rule="auto"/>
        <w:ind w:firstLine="540"/>
        <w:jc w:val="both"/>
      </w:pPr>
      <w:hyperlink w:history="0" r:id="rId55" w:tooltip="&quot;ГОСТ 34140-2017. Межгосударственный стандарт.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quot; (введен в действие Приказом Росстандарта от 18.07.2017 N 719-ст) {КонсультантПлюс}">
        <w:r>
          <w:rPr>
            <w:sz w:val="20"/>
            <w:color w:val="0000ff"/>
          </w:rPr>
          <w:t xml:space="preserve">ГОСТ 34140</w:t>
        </w:r>
      </w:hyperlink>
      <w:r>
        <w:rPr>
          <w:sz w:val="20"/>
        </w:rPr>
        <w:t xml:space="preserve">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w:t>
      </w:r>
    </w:p>
    <w:p>
      <w:pPr>
        <w:pStyle w:val="0"/>
        <w:spacing w:before="200" w:line-rule="auto"/>
        <w:ind w:firstLine="540"/>
        <w:jc w:val="both"/>
      </w:pPr>
      <w:hyperlink w:history="0" r:id="rId56" w:tooltip="&quot;ГОСТ 34165-2017. Межгосударственный стандарт. Зерновые, зернобобовые и продукты их переработки. Методы определения загрязненности насекомыми-вредителями&quot; (введен в действие Приказом Росстандарта от 31.10.2017 N 1599-ст) {КонсультантПлюс}">
        <w:r>
          <w:rPr>
            <w:sz w:val="20"/>
            <w:color w:val="0000ff"/>
          </w:rPr>
          <w:t xml:space="preserve">ГОСТ 34165</w:t>
        </w:r>
      </w:hyperlink>
      <w:r>
        <w:rPr>
          <w:sz w:val="20"/>
        </w:rPr>
        <w:t xml:space="preserve"> Зерновые, зернобобовые и продукты их переработки. Методы определения загрязненности насекомыми-вредителями</w:t>
      </w:r>
    </w:p>
    <w:p>
      <w:pPr>
        <w:pStyle w:val="0"/>
        <w:spacing w:before="200" w:line-rule="auto"/>
        <w:ind w:firstLine="540"/>
        <w:jc w:val="both"/>
      </w:pPr>
      <w:hyperlink w:history="0" r:id="rId57" w:tooltip="&quot;ГОСТ 34427-2018. Межгосударственный стандарт. Продукты пищевые и корма для животных. Определение ртути методом атомно-абсорбционной спектрометрии на основе эффекта Зеемана&quot; (введен в действие Приказом Росстандарта от 04.07.2018 N 380-ст) {КонсультантПлюс}">
        <w:r>
          <w:rPr>
            <w:sz w:val="20"/>
            <w:color w:val="0000ff"/>
          </w:rPr>
          <w:t xml:space="preserve">ГОСТ 34427</w:t>
        </w:r>
      </w:hyperlink>
      <w:r>
        <w:rPr>
          <w:sz w:val="20"/>
        </w:rPr>
        <w:t xml:space="preserve"> Продукты пищевые и корма для животных. Определение ртути методом атомно-абсорбционной спектрометрии на основе эффекта Зеемана</w:t>
      </w:r>
    </w:p>
    <w:p>
      <w:pPr>
        <w:pStyle w:val="0"/>
        <w:spacing w:before="200" w:line-rule="auto"/>
        <w:ind w:firstLine="540"/>
        <w:jc w:val="both"/>
      </w:pPr>
      <w:r>
        <w:rPr>
          <w:sz w:val="20"/>
        </w:rPr>
        <w:t xml:space="preserve">Примечание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w:t>
      </w:r>
      <w:hyperlink w:history="0" w:anchor="P22" w:tooltip="Предисловие">
        <w:r>
          <w:rPr>
            <w:sz w:val="20"/>
            <w:color w:val="0000ff"/>
          </w:rPr>
          <w:t xml:space="preserve">предисловии</w:t>
        </w:r>
      </w:hyperlink>
      <w:r>
        <w:rPr>
          <w:sz w:val="20"/>
        </w:rPr>
        <w:t xml:space="preserve">,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pPr>
        <w:pStyle w:val="0"/>
        <w:ind w:firstLine="540"/>
        <w:jc w:val="both"/>
      </w:pPr>
      <w:r>
        <w:rPr>
          <w:sz w:val="20"/>
        </w:rPr>
      </w:r>
    </w:p>
    <w:p>
      <w:pPr>
        <w:pStyle w:val="2"/>
        <w:outlineLvl w:val="1"/>
        <w:ind w:firstLine="540"/>
        <w:jc w:val="both"/>
      </w:pPr>
      <w:r>
        <w:rPr>
          <w:sz w:val="20"/>
          <w:b w:val="on"/>
        </w:rPr>
        <w:t xml:space="preserve">3 Термины и определения</w:t>
      </w:r>
    </w:p>
    <w:p>
      <w:pPr>
        <w:pStyle w:val="0"/>
        <w:ind w:firstLine="540"/>
        <w:jc w:val="both"/>
      </w:pPr>
      <w:r>
        <w:rPr>
          <w:sz w:val="20"/>
        </w:rPr>
      </w:r>
    </w:p>
    <w:p>
      <w:pPr>
        <w:pStyle w:val="0"/>
        <w:ind w:firstLine="540"/>
        <w:jc w:val="both"/>
      </w:pPr>
      <w:r>
        <w:rPr>
          <w:sz w:val="20"/>
        </w:rPr>
        <w:t xml:space="preserve">В настоящем стандарте применены термины по </w:t>
      </w:r>
      <w:hyperlink w:history="0" r:id="rId58"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w:t>
        </w:r>
      </w:hyperlink>
      <w:r>
        <w:rPr>
          <w:sz w:val="20"/>
        </w:rPr>
        <w:t xml:space="preserve"> и </w:t>
      </w:r>
      <w:hyperlink w:history="0" w:anchor="P353" w:tooltip="[1]">
        <w:r>
          <w:rPr>
            <w:sz w:val="20"/>
            <w:color w:val="0000ff"/>
          </w:rPr>
          <w:t xml:space="preserve">[1]</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4 Типы и подтипы</w:t>
      </w:r>
    </w:p>
    <w:p>
      <w:pPr>
        <w:pStyle w:val="0"/>
        <w:ind w:firstLine="540"/>
        <w:jc w:val="both"/>
      </w:pPr>
      <w:r>
        <w:rPr>
          <w:sz w:val="20"/>
        </w:rPr>
      </w:r>
    </w:p>
    <w:p>
      <w:pPr>
        <w:pStyle w:val="0"/>
        <w:ind w:firstLine="540"/>
        <w:jc w:val="both"/>
      </w:pPr>
      <w:r>
        <w:rPr>
          <w:sz w:val="20"/>
        </w:rPr>
        <w:t xml:space="preserve">4.1 В зависимости от цвета семена гороха подразделяют на типы и подтипы, указанные в </w:t>
      </w:r>
      <w:hyperlink w:history="0" w:anchor="P134" w:tooltip="Таблица 1">
        <w:r>
          <w:rPr>
            <w:sz w:val="20"/>
            <w:color w:val="0000ff"/>
          </w:rPr>
          <w:t xml:space="preserve">таблице 1</w:t>
        </w:r>
      </w:hyperlink>
      <w:r>
        <w:rPr>
          <w:sz w:val="20"/>
        </w:rPr>
        <w:t xml:space="preserve">.</w:t>
      </w:r>
    </w:p>
    <w:p>
      <w:pPr>
        <w:pStyle w:val="0"/>
        <w:ind w:firstLine="540"/>
        <w:jc w:val="both"/>
      </w:pPr>
      <w:r>
        <w:rPr>
          <w:sz w:val="20"/>
        </w:rPr>
      </w:r>
    </w:p>
    <w:bookmarkStart w:id="134" w:name="P134"/>
    <w:bookmarkEnd w:id="134"/>
    <w:p>
      <w:pPr>
        <w:pStyle w:val="0"/>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907"/>
        <w:gridCol w:w="5216"/>
        <w:gridCol w:w="2381"/>
      </w:tblGrid>
      <w:tr>
        <w:tc>
          <w:tcPr>
            <w:tcW w:w="567" w:type="dxa"/>
            <w:vAlign w:val="center"/>
          </w:tcPr>
          <w:p>
            <w:pPr>
              <w:pStyle w:val="0"/>
              <w:jc w:val="center"/>
            </w:pPr>
            <w:r>
              <w:rPr>
                <w:sz w:val="20"/>
              </w:rPr>
              <w:t xml:space="preserve">Тип</w:t>
            </w:r>
          </w:p>
        </w:tc>
        <w:tc>
          <w:tcPr>
            <w:tcW w:w="907" w:type="dxa"/>
            <w:vAlign w:val="center"/>
          </w:tcPr>
          <w:p>
            <w:pPr>
              <w:pStyle w:val="0"/>
              <w:jc w:val="center"/>
            </w:pPr>
            <w:r>
              <w:rPr>
                <w:sz w:val="20"/>
              </w:rPr>
              <w:t xml:space="preserve">Подтип</w:t>
            </w:r>
          </w:p>
        </w:tc>
        <w:tc>
          <w:tcPr>
            <w:tcW w:w="5216" w:type="dxa"/>
            <w:vAlign w:val="center"/>
          </w:tcPr>
          <w:p>
            <w:pPr>
              <w:pStyle w:val="0"/>
              <w:jc w:val="center"/>
            </w:pPr>
            <w:r>
              <w:rPr>
                <w:sz w:val="20"/>
              </w:rPr>
              <w:t xml:space="preserve">Цвет семян</w:t>
            </w:r>
          </w:p>
        </w:tc>
        <w:tc>
          <w:tcPr>
            <w:tcW w:w="2381" w:type="dxa"/>
            <w:vAlign w:val="center"/>
          </w:tcPr>
          <w:p>
            <w:pPr>
              <w:pStyle w:val="0"/>
              <w:jc w:val="center"/>
            </w:pPr>
            <w:r>
              <w:rPr>
                <w:sz w:val="20"/>
              </w:rPr>
              <w:t xml:space="preserve">Содержание зерен другого типа и подтипа, %, не более</w:t>
            </w:r>
          </w:p>
        </w:tc>
      </w:tr>
      <w:tr>
        <w:tc>
          <w:tcPr>
            <w:tcW w:w="567" w:type="dxa"/>
            <w:vAlign w:val="center"/>
            <w:vMerge w:val="restart"/>
          </w:tcPr>
          <w:p>
            <w:pPr>
              <w:pStyle w:val="0"/>
              <w:jc w:val="center"/>
            </w:pPr>
            <w:r>
              <w:rPr>
                <w:sz w:val="20"/>
              </w:rPr>
              <w:t xml:space="preserve">I</w:t>
            </w:r>
          </w:p>
        </w:tc>
        <w:tc>
          <w:tcPr>
            <w:tcW w:w="907" w:type="dxa"/>
            <w:vAlign w:val="center"/>
          </w:tcPr>
          <w:p>
            <w:pPr>
              <w:pStyle w:val="0"/>
              <w:jc w:val="center"/>
            </w:pPr>
            <w:r>
              <w:rPr>
                <w:sz w:val="20"/>
              </w:rPr>
              <w:t xml:space="preserve">1</w:t>
            </w:r>
          </w:p>
        </w:tc>
        <w:tc>
          <w:tcPr>
            <w:tcW w:w="5216" w:type="dxa"/>
          </w:tcPr>
          <w:p>
            <w:pPr>
              <w:pStyle w:val="0"/>
            </w:pPr>
            <w:r>
              <w:rPr>
                <w:sz w:val="20"/>
              </w:rPr>
              <w:t xml:space="preserve">Желтый разных оттенков</w:t>
            </w:r>
          </w:p>
          <w:p>
            <w:pPr>
              <w:pStyle w:val="0"/>
            </w:pPr>
            <w:r>
              <w:rPr>
                <w:sz w:val="20"/>
              </w:rPr>
              <w:t xml:space="preserve">(с просвечивающимися через семенную оболочку семядолями)</w:t>
            </w:r>
          </w:p>
        </w:tc>
        <w:tc>
          <w:tcPr>
            <w:tcW w:w="2381" w:type="dxa"/>
            <w:vAlign w:val="center"/>
          </w:tcPr>
          <w:p>
            <w:pPr>
              <w:pStyle w:val="0"/>
              <w:jc w:val="center"/>
            </w:pPr>
            <w:r>
              <w:rPr>
                <w:sz w:val="20"/>
              </w:rPr>
              <w:t xml:space="preserve">10,0, в том числе II типа 5,0</w:t>
            </w:r>
          </w:p>
        </w:tc>
      </w:tr>
      <w:tr>
        <w:tc>
          <w:tcPr>
            <w:vMerge w:val="continue"/>
          </w:tcPr>
          <w:p/>
        </w:tc>
        <w:tc>
          <w:tcPr>
            <w:tcW w:w="907" w:type="dxa"/>
            <w:vAlign w:val="center"/>
          </w:tcPr>
          <w:p>
            <w:pPr>
              <w:pStyle w:val="0"/>
              <w:jc w:val="center"/>
            </w:pPr>
            <w:r>
              <w:rPr>
                <w:sz w:val="20"/>
              </w:rPr>
              <w:t xml:space="preserve">2</w:t>
            </w:r>
          </w:p>
        </w:tc>
        <w:tc>
          <w:tcPr>
            <w:tcW w:w="5216" w:type="dxa"/>
          </w:tcPr>
          <w:p>
            <w:pPr>
              <w:pStyle w:val="0"/>
            </w:pPr>
            <w:r>
              <w:rPr>
                <w:sz w:val="20"/>
              </w:rPr>
              <w:t xml:space="preserve">Зеленый разных оттенков</w:t>
            </w:r>
          </w:p>
          <w:p>
            <w:pPr>
              <w:pStyle w:val="0"/>
            </w:pPr>
            <w:r>
              <w:rPr>
                <w:sz w:val="20"/>
              </w:rPr>
              <w:t xml:space="preserve">(с просвечивающимися через семенную оболочку семядолями)</w:t>
            </w:r>
          </w:p>
        </w:tc>
        <w:tc>
          <w:tcPr>
            <w:tcW w:w="2381" w:type="dxa"/>
            <w:vAlign w:val="center"/>
          </w:tcPr>
          <w:p>
            <w:pPr>
              <w:pStyle w:val="0"/>
              <w:jc w:val="center"/>
            </w:pPr>
            <w:r>
              <w:rPr>
                <w:sz w:val="20"/>
              </w:rPr>
              <w:t xml:space="preserve">10,0, в том числе II типа 5,0</w:t>
            </w:r>
          </w:p>
        </w:tc>
      </w:tr>
      <w:tr>
        <w:tc>
          <w:tcPr>
            <w:tcW w:w="567" w:type="dxa"/>
            <w:vAlign w:val="center"/>
          </w:tcPr>
          <w:p>
            <w:pPr>
              <w:pStyle w:val="0"/>
              <w:jc w:val="center"/>
            </w:pPr>
            <w:r>
              <w:rPr>
                <w:sz w:val="20"/>
              </w:rPr>
              <w:t xml:space="preserve">II</w:t>
            </w:r>
          </w:p>
        </w:tc>
        <w:tc>
          <w:tcPr>
            <w:tcW w:w="907" w:type="dxa"/>
            <w:vAlign w:val="center"/>
          </w:tcPr>
          <w:p>
            <w:pPr>
              <w:pStyle w:val="0"/>
              <w:jc w:val="center"/>
            </w:pPr>
            <w:r>
              <w:rPr>
                <w:sz w:val="20"/>
              </w:rPr>
              <w:t xml:space="preserve">-</w:t>
            </w:r>
          </w:p>
        </w:tc>
        <w:tc>
          <w:tcPr>
            <w:tcW w:w="5216" w:type="dxa"/>
          </w:tcPr>
          <w:p>
            <w:pPr>
              <w:pStyle w:val="0"/>
            </w:pPr>
            <w:r>
              <w:rPr>
                <w:sz w:val="20"/>
              </w:rPr>
              <w:t xml:space="preserve">Однотонный буро-зеленый, бурый, коричневый, фиолетовый, черный (светлых и темных оттенков) или пятнистый - с мраморным и точечным рисунком (с непросвечивающейся семенной оболочкой)</w:t>
            </w:r>
          </w:p>
        </w:tc>
        <w:tc>
          <w:tcPr>
            <w:tcW w:w="2381" w:type="dxa"/>
            <w:vAlign w:val="center"/>
          </w:tcPr>
          <w:p>
            <w:pPr>
              <w:pStyle w:val="0"/>
              <w:jc w:val="center"/>
            </w:pPr>
            <w:r>
              <w:rPr>
                <w:sz w:val="20"/>
              </w:rPr>
              <w:t xml:space="preserve">-</w:t>
            </w:r>
          </w:p>
        </w:tc>
      </w:tr>
    </w:tbl>
    <w:p>
      <w:pPr>
        <w:pStyle w:val="0"/>
        <w:ind w:firstLine="540"/>
        <w:jc w:val="both"/>
      </w:pPr>
      <w:r>
        <w:rPr>
          <w:sz w:val="20"/>
        </w:rPr>
      </w:r>
    </w:p>
    <w:p>
      <w:pPr>
        <w:pStyle w:val="0"/>
        <w:ind w:firstLine="540"/>
        <w:jc w:val="both"/>
      </w:pPr>
      <w:r>
        <w:rPr>
          <w:sz w:val="20"/>
        </w:rPr>
        <w:t xml:space="preserve">4.2 Горох, содержащий примесь гороха другого типа или подтипа более норм, указанных в </w:t>
      </w:r>
      <w:hyperlink w:history="0" w:anchor="P134" w:tooltip="Таблица 1">
        <w:r>
          <w:rPr>
            <w:sz w:val="20"/>
            <w:color w:val="0000ff"/>
          </w:rPr>
          <w:t xml:space="preserve">таблице 1</w:t>
        </w:r>
      </w:hyperlink>
      <w:r>
        <w:rPr>
          <w:sz w:val="20"/>
        </w:rPr>
        <w:t xml:space="preserve">, определяют как "смесь типов" или "смесь подтипов" с указанием типового состава в процентах.</w:t>
      </w:r>
    </w:p>
    <w:p>
      <w:pPr>
        <w:pStyle w:val="0"/>
        <w:ind w:firstLine="540"/>
        <w:jc w:val="both"/>
      </w:pPr>
      <w:r>
        <w:rPr>
          <w:sz w:val="20"/>
        </w:rPr>
      </w:r>
    </w:p>
    <w:p>
      <w:pPr>
        <w:pStyle w:val="2"/>
        <w:outlineLvl w:val="1"/>
        <w:ind w:firstLine="540"/>
        <w:jc w:val="both"/>
      </w:pPr>
      <w:r>
        <w:rPr>
          <w:sz w:val="20"/>
          <w:b w:val="on"/>
        </w:rPr>
        <w:t xml:space="preserve">5 Технические требования</w:t>
      </w:r>
    </w:p>
    <w:p>
      <w:pPr>
        <w:pStyle w:val="0"/>
        <w:ind w:firstLine="540"/>
        <w:jc w:val="both"/>
      </w:pPr>
      <w:r>
        <w:rPr>
          <w:sz w:val="20"/>
        </w:rPr>
      </w:r>
    </w:p>
    <w:p>
      <w:pPr>
        <w:pStyle w:val="0"/>
        <w:ind w:firstLine="540"/>
        <w:jc w:val="both"/>
      </w:pPr>
      <w:r>
        <w:rPr>
          <w:sz w:val="20"/>
        </w:rPr>
        <w:t xml:space="preserve">5.1 Горох в зависимости от качества семян подразделяют на классы в соответствии с требованиями, указанными в </w:t>
      </w:r>
      <w:hyperlink w:history="0" w:anchor="P160" w:tooltip="Таблица 2">
        <w:r>
          <w:rPr>
            <w:sz w:val="20"/>
            <w:color w:val="0000ff"/>
          </w:rPr>
          <w:t xml:space="preserve">таблице 2</w:t>
        </w:r>
      </w:hyperlink>
      <w:r>
        <w:rPr>
          <w:sz w:val="20"/>
        </w:rPr>
        <w:t xml:space="preserve">.</w:t>
      </w:r>
    </w:p>
    <w:p>
      <w:pPr>
        <w:pStyle w:val="0"/>
        <w:ind w:firstLine="540"/>
        <w:jc w:val="both"/>
      </w:pPr>
      <w:r>
        <w:rPr>
          <w:sz w:val="20"/>
        </w:rPr>
      </w:r>
    </w:p>
    <w:bookmarkStart w:id="160" w:name="P160"/>
    <w:bookmarkEnd w:id="160"/>
    <w:p>
      <w:pPr>
        <w:pStyle w:val="0"/>
        <w:jc w:val="right"/>
      </w:pPr>
      <w:r>
        <w:rPr>
          <w:sz w:val="20"/>
        </w:rPr>
        <w:t xml:space="preserve">Таблица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2835"/>
        <w:gridCol w:w="1191"/>
        <w:gridCol w:w="2154"/>
      </w:tblGrid>
      <w:tr>
        <w:tc>
          <w:tcPr>
            <w:tcW w:w="2891" w:type="dxa"/>
            <w:vAlign w:val="center"/>
            <w:vMerge w:val="restart"/>
          </w:tcPr>
          <w:p>
            <w:pPr>
              <w:pStyle w:val="0"/>
              <w:jc w:val="center"/>
            </w:pPr>
            <w:r>
              <w:rPr>
                <w:sz w:val="20"/>
              </w:rPr>
              <w:t xml:space="preserve">Наименование показателя</w:t>
            </w:r>
          </w:p>
        </w:tc>
        <w:tc>
          <w:tcPr>
            <w:gridSpan w:val="3"/>
            <w:tcW w:w="6180" w:type="dxa"/>
            <w:vAlign w:val="center"/>
          </w:tcPr>
          <w:p>
            <w:pPr>
              <w:pStyle w:val="0"/>
              <w:jc w:val="center"/>
            </w:pPr>
            <w:r>
              <w:rPr>
                <w:sz w:val="20"/>
              </w:rPr>
              <w:t xml:space="preserve">Значение показателя</w:t>
            </w:r>
          </w:p>
        </w:tc>
      </w:tr>
      <w:tr>
        <w:tc>
          <w:tcPr>
            <w:vMerge w:val="continue"/>
          </w:tcPr>
          <w:p/>
        </w:tc>
        <w:tc>
          <w:tcPr>
            <w:tcW w:w="2835" w:type="dxa"/>
            <w:vAlign w:val="center"/>
          </w:tcPr>
          <w:p>
            <w:pPr>
              <w:pStyle w:val="0"/>
              <w:jc w:val="center"/>
            </w:pPr>
            <w:r>
              <w:rPr>
                <w:sz w:val="20"/>
              </w:rPr>
              <w:t xml:space="preserve">1-го</w:t>
            </w:r>
          </w:p>
        </w:tc>
        <w:tc>
          <w:tcPr>
            <w:tcW w:w="1191" w:type="dxa"/>
            <w:vAlign w:val="center"/>
          </w:tcPr>
          <w:p>
            <w:pPr>
              <w:pStyle w:val="0"/>
              <w:jc w:val="center"/>
            </w:pPr>
            <w:r>
              <w:rPr>
                <w:sz w:val="20"/>
              </w:rPr>
              <w:t xml:space="preserve">2-го</w:t>
            </w:r>
          </w:p>
        </w:tc>
        <w:tc>
          <w:tcPr>
            <w:tcW w:w="2154" w:type="dxa"/>
            <w:vAlign w:val="center"/>
          </w:tcPr>
          <w:p>
            <w:pPr>
              <w:pStyle w:val="0"/>
              <w:jc w:val="center"/>
            </w:pPr>
            <w:r>
              <w:rPr>
                <w:sz w:val="20"/>
              </w:rPr>
              <w:t xml:space="preserve">3-го</w:t>
            </w:r>
          </w:p>
        </w:tc>
      </w:tr>
      <w:tr>
        <w:tc>
          <w:tcPr>
            <w:tcW w:w="2891" w:type="dxa"/>
            <w:vMerge w:val="restart"/>
          </w:tcPr>
          <w:p>
            <w:pPr>
              <w:pStyle w:val="0"/>
            </w:pPr>
            <w:r>
              <w:rPr>
                <w:sz w:val="20"/>
              </w:rPr>
              <w:t xml:space="preserve">Тип</w:t>
            </w:r>
          </w:p>
        </w:tc>
        <w:tc>
          <w:tcPr>
            <w:tcW w:w="2835" w:type="dxa"/>
            <w:tcBorders>
              <w:bottom w:val="nil"/>
            </w:tcBorders>
          </w:tcPr>
          <w:p>
            <w:pPr>
              <w:pStyle w:val="0"/>
            </w:pPr>
            <w:r>
              <w:rPr>
                <w:sz w:val="20"/>
              </w:rPr>
              <w:t xml:space="preserve">I тип, 1-й подтип с примесью семян 2-го подтипа не более 2% и (или) II типа не более 1%;</w:t>
            </w:r>
          </w:p>
          <w:p>
            <w:pPr>
              <w:pStyle w:val="0"/>
            </w:pPr>
            <w:r>
              <w:rPr>
                <w:sz w:val="20"/>
              </w:rPr>
              <w:t xml:space="preserve">I тип, 2-й подтип с примесью семян 1-го подтипа не более 2% и (или) II типа не более 1%</w:t>
            </w:r>
          </w:p>
        </w:tc>
        <w:tc>
          <w:tcPr>
            <w:tcW w:w="1191" w:type="dxa"/>
            <w:vAlign w:val="center"/>
            <w:tcBorders>
              <w:bottom w:val="nil"/>
            </w:tcBorders>
          </w:tcPr>
          <w:p>
            <w:pPr>
              <w:pStyle w:val="0"/>
              <w:jc w:val="center"/>
            </w:pPr>
            <w:r>
              <w:rPr>
                <w:sz w:val="20"/>
              </w:rPr>
              <w:t xml:space="preserve">I тип, 1-й или 2-й подтип</w:t>
            </w:r>
          </w:p>
        </w:tc>
        <w:tc>
          <w:tcPr>
            <w:tcW w:w="2154" w:type="dxa"/>
            <w:vAlign w:val="center"/>
            <w:vMerge w:val="restart"/>
          </w:tcPr>
          <w:p>
            <w:pPr>
              <w:pStyle w:val="0"/>
              <w:jc w:val="center"/>
            </w:pPr>
            <w:r>
              <w:rPr>
                <w:sz w:val="20"/>
              </w:rPr>
              <w:t xml:space="preserve">I и II типы, смесь типов и подтипов</w:t>
            </w:r>
          </w:p>
        </w:tc>
      </w:tr>
      <w:tr>
        <w:tc>
          <w:tcPr>
            <w:vMerge w:val="continue"/>
          </w:tcPr>
          <w:p/>
        </w:tc>
        <w:tc>
          <w:tcPr>
            <w:gridSpan w:val="2"/>
            <w:tcW w:w="4026" w:type="dxa"/>
            <w:tcBorders>
              <w:top w:val="nil"/>
            </w:tcBorders>
          </w:tcPr>
          <w:p>
            <w:pPr>
              <w:pStyle w:val="0"/>
              <w:jc w:val="center"/>
            </w:pPr>
            <w:r>
              <w:rPr>
                <w:sz w:val="20"/>
              </w:rPr>
              <w:t xml:space="preserve">Смесь типов и подтипов не допускается</w:t>
            </w:r>
          </w:p>
        </w:tc>
        <w:tc>
          <w:tcPr>
            <w:vMerge w:val="continue"/>
          </w:tcPr>
          <w:p/>
        </w:tc>
      </w:tr>
      <w:tr>
        <w:tc>
          <w:tcPr>
            <w:tcW w:w="2891" w:type="dxa"/>
          </w:tcPr>
          <w:p>
            <w:pPr>
              <w:pStyle w:val="0"/>
            </w:pPr>
            <w:r>
              <w:rPr>
                <w:sz w:val="20"/>
              </w:rPr>
              <w:t xml:space="preserve">Состояние</w:t>
            </w:r>
          </w:p>
        </w:tc>
        <w:tc>
          <w:tcPr>
            <w:gridSpan w:val="3"/>
            <w:tcW w:w="6180" w:type="dxa"/>
          </w:tcPr>
          <w:p>
            <w:pPr>
              <w:pStyle w:val="0"/>
              <w:jc w:val="center"/>
            </w:pPr>
            <w:r>
              <w:rPr>
                <w:sz w:val="20"/>
              </w:rPr>
              <w:t xml:space="preserve">В здоровом, негреющемся состоянии</w:t>
            </w:r>
          </w:p>
        </w:tc>
      </w:tr>
      <w:tr>
        <w:tc>
          <w:tcPr>
            <w:tcW w:w="2891" w:type="dxa"/>
          </w:tcPr>
          <w:p>
            <w:pPr>
              <w:pStyle w:val="0"/>
            </w:pPr>
            <w:r>
              <w:rPr>
                <w:sz w:val="20"/>
              </w:rPr>
              <w:t xml:space="preserve">Цвет</w:t>
            </w:r>
          </w:p>
        </w:tc>
        <w:tc>
          <w:tcPr>
            <w:gridSpan w:val="3"/>
            <w:tcW w:w="6180" w:type="dxa"/>
          </w:tcPr>
          <w:p>
            <w:pPr>
              <w:pStyle w:val="0"/>
              <w:jc w:val="center"/>
            </w:pPr>
            <w:r>
              <w:rPr>
                <w:sz w:val="20"/>
              </w:rPr>
              <w:t xml:space="preserve">Свойственный здоровому гороху</w:t>
            </w:r>
          </w:p>
        </w:tc>
      </w:tr>
      <w:tr>
        <w:tc>
          <w:tcPr>
            <w:tcW w:w="2891" w:type="dxa"/>
          </w:tcPr>
          <w:p>
            <w:pPr>
              <w:pStyle w:val="0"/>
            </w:pPr>
            <w:r>
              <w:rPr>
                <w:sz w:val="20"/>
              </w:rPr>
              <w:t xml:space="preserve">Запах</w:t>
            </w:r>
          </w:p>
        </w:tc>
        <w:tc>
          <w:tcPr>
            <w:gridSpan w:val="3"/>
            <w:tcW w:w="6180" w:type="dxa"/>
          </w:tcPr>
          <w:p>
            <w:pPr>
              <w:pStyle w:val="0"/>
              <w:jc w:val="center"/>
            </w:pPr>
            <w:r>
              <w:rPr>
                <w:sz w:val="20"/>
              </w:rPr>
              <w:t xml:space="preserve">Свойственный здоровому гороху, без плесневого, солодового, затхлого и других посторонних запахов</w:t>
            </w:r>
          </w:p>
        </w:tc>
      </w:tr>
      <w:tr>
        <w:tc>
          <w:tcPr>
            <w:tcW w:w="2891" w:type="dxa"/>
          </w:tcPr>
          <w:p>
            <w:pPr>
              <w:pStyle w:val="0"/>
            </w:pPr>
            <w:r>
              <w:rPr>
                <w:sz w:val="20"/>
              </w:rPr>
              <w:t xml:space="preserve">Влажность, %, не более</w:t>
            </w:r>
          </w:p>
        </w:tc>
        <w:tc>
          <w:tcPr>
            <w:gridSpan w:val="3"/>
            <w:tcW w:w="6180" w:type="dxa"/>
            <w:vAlign w:val="bottom"/>
          </w:tcPr>
          <w:p>
            <w:pPr>
              <w:pStyle w:val="0"/>
              <w:jc w:val="center"/>
            </w:pPr>
            <w:r>
              <w:rPr>
                <w:sz w:val="20"/>
              </w:rPr>
              <w:t xml:space="preserve">15,0</w:t>
            </w:r>
          </w:p>
        </w:tc>
      </w:tr>
      <w:tr>
        <w:tblPrEx>
          <w:tblBorders>
            <w:insideH w:val="nil"/>
          </w:tblBorders>
        </w:tblPrEx>
        <w:tc>
          <w:tcPr>
            <w:tcW w:w="2891" w:type="dxa"/>
            <w:tcBorders>
              <w:bottom w:val="nil"/>
            </w:tcBorders>
          </w:tcPr>
          <w:p>
            <w:pPr>
              <w:pStyle w:val="0"/>
            </w:pPr>
            <w:r>
              <w:rPr>
                <w:sz w:val="20"/>
              </w:rPr>
              <w:t xml:space="preserve">Сорная примесь, %,</w:t>
            </w:r>
          </w:p>
          <w:p>
            <w:pPr>
              <w:pStyle w:val="0"/>
            </w:pPr>
            <w:r>
              <w:rPr>
                <w:sz w:val="20"/>
              </w:rPr>
              <w:t xml:space="preserve">не более, в том числе:</w:t>
            </w:r>
          </w:p>
        </w:tc>
        <w:tc>
          <w:tcPr>
            <w:tcW w:w="2835" w:type="dxa"/>
            <w:vAlign w:val="bottom"/>
            <w:tcBorders>
              <w:bottom w:val="nil"/>
            </w:tcBorders>
          </w:tcPr>
          <w:p>
            <w:pPr>
              <w:pStyle w:val="0"/>
              <w:jc w:val="center"/>
            </w:pPr>
            <w:r>
              <w:rPr>
                <w:sz w:val="20"/>
              </w:rPr>
              <w:t xml:space="preserve">1,0</w:t>
            </w:r>
          </w:p>
        </w:tc>
        <w:tc>
          <w:tcPr>
            <w:tcW w:w="1191" w:type="dxa"/>
            <w:vAlign w:val="bottom"/>
            <w:tcBorders>
              <w:bottom w:val="nil"/>
            </w:tcBorders>
          </w:tcPr>
          <w:p>
            <w:pPr>
              <w:pStyle w:val="0"/>
              <w:jc w:val="center"/>
            </w:pPr>
            <w:r>
              <w:rPr>
                <w:sz w:val="20"/>
              </w:rPr>
              <w:t xml:space="preserve">4,0</w:t>
            </w:r>
          </w:p>
        </w:tc>
        <w:tc>
          <w:tcPr>
            <w:tcW w:w="2154" w:type="dxa"/>
            <w:vAlign w:val="bottom"/>
            <w:tcBorders>
              <w:bottom w:val="nil"/>
            </w:tcBorders>
          </w:tcPr>
          <w:p>
            <w:pPr>
              <w:pStyle w:val="0"/>
              <w:jc w:val="center"/>
            </w:pPr>
            <w:r>
              <w:rPr>
                <w:sz w:val="20"/>
              </w:rPr>
              <w:t xml:space="preserve">8,0</w:t>
            </w:r>
          </w:p>
        </w:tc>
      </w:tr>
      <w:tr>
        <w:tblPrEx>
          <w:tblBorders>
            <w:insideH w:val="nil"/>
          </w:tblBorders>
        </w:tblPrEx>
        <w:tc>
          <w:tcPr>
            <w:tcW w:w="2891" w:type="dxa"/>
            <w:tcBorders>
              <w:top w:val="nil"/>
              <w:bottom w:val="nil"/>
            </w:tcBorders>
          </w:tcPr>
          <w:p>
            <w:pPr>
              <w:pStyle w:val="0"/>
            </w:pPr>
            <w:r>
              <w:rPr>
                <w:sz w:val="20"/>
              </w:rPr>
              <w:t xml:space="preserve">минеральная примесь,</w:t>
            </w:r>
          </w:p>
        </w:tc>
        <w:tc>
          <w:tcPr>
            <w:tcW w:w="2835" w:type="dxa"/>
            <w:tcBorders>
              <w:top w:val="nil"/>
              <w:bottom w:val="nil"/>
            </w:tcBorders>
          </w:tcPr>
          <w:p>
            <w:pPr>
              <w:pStyle w:val="0"/>
              <w:jc w:val="center"/>
            </w:pPr>
            <w:r>
              <w:rPr>
                <w:sz w:val="20"/>
              </w:rPr>
              <w:t xml:space="preserve">0,3</w:t>
            </w:r>
          </w:p>
        </w:tc>
        <w:tc>
          <w:tcPr>
            <w:tcW w:w="1191" w:type="dxa"/>
            <w:tcBorders>
              <w:top w:val="nil"/>
              <w:bottom w:val="nil"/>
            </w:tcBorders>
          </w:tcPr>
          <w:p>
            <w:pPr>
              <w:pStyle w:val="0"/>
              <w:jc w:val="center"/>
            </w:pPr>
            <w:r>
              <w:rPr>
                <w:sz w:val="20"/>
              </w:rPr>
              <w:t xml:space="preserve">0,3</w:t>
            </w:r>
          </w:p>
        </w:tc>
        <w:tc>
          <w:tcPr>
            <w:tcW w:w="2154" w:type="dxa"/>
            <w:tcBorders>
              <w:top w:val="nil"/>
              <w:bottom w:val="nil"/>
            </w:tcBorders>
          </w:tcPr>
          <w:p>
            <w:pPr>
              <w:pStyle w:val="0"/>
              <w:jc w:val="center"/>
            </w:pPr>
            <w:r>
              <w:rPr>
                <w:sz w:val="20"/>
              </w:rPr>
              <w:t xml:space="preserve">в пределах общей нормы содержания сорной примеси</w:t>
            </w:r>
          </w:p>
        </w:tc>
      </w:tr>
      <w:tr>
        <w:tblPrEx>
          <w:tblBorders>
            <w:insideH w:val="nil"/>
          </w:tblBorders>
        </w:tblPrEx>
        <w:tc>
          <w:tcPr>
            <w:tcW w:w="2891" w:type="dxa"/>
            <w:tcBorders>
              <w:top w:val="nil"/>
              <w:bottom w:val="nil"/>
            </w:tcBorders>
          </w:tcPr>
          <w:p>
            <w:pPr>
              <w:pStyle w:val="0"/>
            </w:pPr>
            <w:r>
              <w:rPr>
                <w:sz w:val="20"/>
              </w:rPr>
              <w:t xml:space="preserve">в том числе, галька;</w:t>
            </w:r>
          </w:p>
        </w:tc>
        <w:tc>
          <w:tcPr>
            <w:tcW w:w="2835" w:type="dxa"/>
            <w:tcBorders>
              <w:top w:val="nil"/>
              <w:bottom w:val="nil"/>
            </w:tcBorders>
          </w:tcPr>
          <w:p>
            <w:pPr>
              <w:pStyle w:val="0"/>
              <w:jc w:val="center"/>
            </w:pPr>
            <w:r>
              <w:rPr>
                <w:sz w:val="20"/>
              </w:rPr>
              <w:t xml:space="preserve">0,1</w:t>
            </w:r>
          </w:p>
        </w:tc>
        <w:tc>
          <w:tcPr>
            <w:tcW w:w="1191" w:type="dxa"/>
            <w:tcBorders>
              <w:top w:val="nil"/>
              <w:bottom w:val="nil"/>
            </w:tcBorders>
          </w:tcPr>
          <w:p>
            <w:pPr>
              <w:pStyle w:val="0"/>
              <w:jc w:val="center"/>
            </w:pPr>
            <w:r>
              <w:rPr>
                <w:sz w:val="20"/>
              </w:rPr>
              <w:t xml:space="preserve">0,1</w:t>
            </w:r>
          </w:p>
        </w:tc>
        <w:tc>
          <w:tcPr>
            <w:tcW w:w="2154" w:type="dxa"/>
            <w:tcBorders>
              <w:top w:val="nil"/>
              <w:bottom w:val="nil"/>
            </w:tcBorders>
          </w:tcPr>
          <w:p>
            <w:pPr>
              <w:pStyle w:val="0"/>
              <w:jc w:val="center"/>
            </w:pPr>
            <w:r>
              <w:rPr>
                <w:sz w:val="20"/>
              </w:rPr>
              <w:t xml:space="preserve">1,0</w:t>
            </w:r>
          </w:p>
        </w:tc>
      </w:tr>
      <w:tr>
        <w:tblPrEx>
          <w:tblBorders>
            <w:insideH w:val="nil"/>
          </w:tblBorders>
        </w:tblPrEx>
        <w:tc>
          <w:tcPr>
            <w:tcW w:w="2891" w:type="dxa"/>
            <w:tcBorders>
              <w:top w:val="nil"/>
            </w:tcBorders>
          </w:tcPr>
          <w:p>
            <w:pPr>
              <w:pStyle w:val="0"/>
            </w:pPr>
            <w:r>
              <w:rPr>
                <w:sz w:val="20"/>
              </w:rPr>
              <w:t xml:space="preserve">испорченные семена гороха</w:t>
            </w:r>
          </w:p>
        </w:tc>
        <w:tc>
          <w:tcPr>
            <w:tcW w:w="2835" w:type="dxa"/>
            <w:tcBorders>
              <w:top w:val="nil"/>
            </w:tcBorders>
          </w:tcPr>
          <w:p>
            <w:pPr>
              <w:pStyle w:val="0"/>
              <w:jc w:val="center"/>
            </w:pPr>
            <w:r>
              <w:rPr>
                <w:sz w:val="20"/>
              </w:rPr>
              <w:t xml:space="preserve">0,4</w:t>
            </w:r>
          </w:p>
        </w:tc>
        <w:tc>
          <w:tcPr>
            <w:tcW w:w="1191" w:type="dxa"/>
            <w:tcBorders>
              <w:top w:val="nil"/>
            </w:tcBorders>
          </w:tcPr>
          <w:p>
            <w:pPr>
              <w:pStyle w:val="0"/>
              <w:jc w:val="center"/>
            </w:pPr>
            <w:r>
              <w:rPr>
                <w:sz w:val="20"/>
              </w:rPr>
              <w:t xml:space="preserve">2,5</w:t>
            </w:r>
          </w:p>
        </w:tc>
        <w:tc>
          <w:tcPr>
            <w:tcW w:w="2154" w:type="dxa"/>
            <w:tcBorders>
              <w:top w:val="nil"/>
            </w:tcBorders>
          </w:tcPr>
          <w:p>
            <w:pPr>
              <w:pStyle w:val="0"/>
              <w:jc w:val="center"/>
            </w:pPr>
            <w:r>
              <w:rPr>
                <w:sz w:val="20"/>
              </w:rPr>
              <w:t xml:space="preserve">в пределах общей нормы содержания сорной примеси</w:t>
            </w:r>
          </w:p>
        </w:tc>
      </w:tr>
      <w:tr>
        <w:tblPrEx>
          <w:tblBorders>
            <w:insideH w:val="nil"/>
          </w:tblBorders>
        </w:tblPrEx>
        <w:tc>
          <w:tcPr>
            <w:tcW w:w="2891" w:type="dxa"/>
            <w:tcBorders>
              <w:bottom w:val="nil"/>
            </w:tcBorders>
          </w:tcPr>
          <w:p>
            <w:pPr>
              <w:pStyle w:val="0"/>
            </w:pPr>
            <w:r>
              <w:rPr>
                <w:sz w:val="20"/>
              </w:rPr>
              <w:t xml:space="preserve">Зерновая примесь, %,</w:t>
            </w:r>
          </w:p>
          <w:p>
            <w:pPr>
              <w:pStyle w:val="0"/>
            </w:pPr>
            <w:r>
              <w:rPr>
                <w:sz w:val="20"/>
              </w:rPr>
              <w:t xml:space="preserve">не более, в том числе:</w:t>
            </w:r>
          </w:p>
        </w:tc>
        <w:tc>
          <w:tcPr>
            <w:tcW w:w="2835" w:type="dxa"/>
            <w:tcBorders>
              <w:bottom w:val="nil"/>
            </w:tcBorders>
          </w:tcPr>
          <w:p>
            <w:pPr>
              <w:pStyle w:val="0"/>
              <w:jc w:val="center"/>
            </w:pPr>
            <w:r>
              <w:rPr>
                <w:sz w:val="20"/>
              </w:rPr>
              <w:t xml:space="preserve">3,0</w:t>
            </w:r>
          </w:p>
        </w:tc>
        <w:tc>
          <w:tcPr>
            <w:tcW w:w="1191" w:type="dxa"/>
            <w:tcBorders>
              <w:bottom w:val="nil"/>
            </w:tcBorders>
          </w:tcPr>
          <w:p>
            <w:pPr>
              <w:pStyle w:val="0"/>
              <w:jc w:val="center"/>
            </w:pPr>
            <w:r>
              <w:rPr>
                <w:sz w:val="20"/>
              </w:rPr>
              <w:t xml:space="preserve">5,0</w:t>
            </w:r>
          </w:p>
        </w:tc>
        <w:tc>
          <w:tcPr>
            <w:tcW w:w="2154" w:type="dxa"/>
            <w:tcBorders>
              <w:bottom w:val="nil"/>
            </w:tcBorders>
          </w:tcPr>
          <w:p>
            <w:pPr>
              <w:pStyle w:val="0"/>
              <w:jc w:val="center"/>
            </w:pPr>
            <w:r>
              <w:rPr>
                <w:sz w:val="20"/>
              </w:rPr>
              <w:t xml:space="preserve">15,0</w:t>
            </w:r>
          </w:p>
        </w:tc>
      </w:tr>
      <w:tr>
        <w:tblPrEx>
          <w:tblBorders>
            <w:insideH w:val="nil"/>
          </w:tblBorders>
        </w:tblPrEx>
        <w:tc>
          <w:tcPr>
            <w:tcW w:w="2891" w:type="dxa"/>
            <w:tcBorders>
              <w:top w:val="nil"/>
              <w:bottom w:val="nil"/>
            </w:tcBorders>
          </w:tcPr>
          <w:p>
            <w:pPr>
              <w:pStyle w:val="0"/>
            </w:pPr>
            <w:r>
              <w:rPr>
                <w:sz w:val="20"/>
              </w:rPr>
              <w:t xml:space="preserve">семена гороха, поврежденные гороховой зерновкой и (или) листоверткой,</w:t>
            </w:r>
          </w:p>
        </w:tc>
        <w:tc>
          <w:tcPr>
            <w:tcW w:w="2835" w:type="dxa"/>
            <w:vAlign w:val="bottom"/>
            <w:tcBorders>
              <w:top w:val="nil"/>
              <w:bottom w:val="nil"/>
            </w:tcBorders>
          </w:tcPr>
          <w:p>
            <w:pPr>
              <w:pStyle w:val="0"/>
              <w:jc w:val="center"/>
            </w:pPr>
            <w:r>
              <w:rPr>
                <w:sz w:val="20"/>
              </w:rPr>
              <w:t xml:space="preserve">1,0</w:t>
            </w:r>
          </w:p>
        </w:tc>
        <w:tc>
          <w:tcPr>
            <w:tcW w:w="1191" w:type="dxa"/>
            <w:vAlign w:val="bottom"/>
            <w:tcBorders>
              <w:top w:val="nil"/>
              <w:bottom w:val="nil"/>
            </w:tcBorders>
          </w:tcPr>
          <w:p>
            <w:pPr>
              <w:pStyle w:val="0"/>
              <w:jc w:val="center"/>
            </w:pPr>
            <w:r>
              <w:rPr>
                <w:sz w:val="20"/>
              </w:rPr>
              <w:t xml:space="preserve">1,0</w:t>
            </w:r>
          </w:p>
        </w:tc>
        <w:tc>
          <w:tcPr>
            <w:tcW w:w="2154" w:type="dxa"/>
            <w:tcBorders>
              <w:top w:val="nil"/>
              <w:bottom w:val="nil"/>
            </w:tcBorders>
          </w:tcPr>
          <w:p>
            <w:pPr>
              <w:pStyle w:val="0"/>
              <w:jc w:val="center"/>
            </w:pPr>
            <w:r>
              <w:rPr>
                <w:sz w:val="20"/>
              </w:rPr>
              <w:t xml:space="preserve">в пределах общей нормы содержания зерновой примеси</w:t>
            </w:r>
          </w:p>
        </w:tc>
      </w:tr>
      <w:tr>
        <w:tblPrEx>
          <w:tblBorders>
            <w:insideH w:val="nil"/>
          </w:tblBorders>
        </w:tblPrEx>
        <w:tc>
          <w:tcPr>
            <w:tcW w:w="2891" w:type="dxa"/>
            <w:tcBorders>
              <w:top w:val="nil"/>
            </w:tcBorders>
          </w:tcPr>
          <w:p>
            <w:pPr>
              <w:pStyle w:val="0"/>
            </w:pPr>
            <w:r>
              <w:rPr>
                <w:sz w:val="20"/>
              </w:rPr>
              <w:t xml:space="preserve">проросшие зерна</w:t>
            </w:r>
          </w:p>
        </w:tc>
        <w:tc>
          <w:tcPr>
            <w:tcW w:w="2835" w:type="dxa"/>
            <w:tcBorders>
              <w:top w:val="nil"/>
            </w:tcBorders>
          </w:tcPr>
          <w:p>
            <w:pPr>
              <w:pStyle w:val="0"/>
              <w:jc w:val="center"/>
            </w:pPr>
            <w:r>
              <w:rPr>
                <w:sz w:val="20"/>
              </w:rPr>
              <w:t xml:space="preserve">1,0</w:t>
            </w:r>
          </w:p>
        </w:tc>
        <w:tc>
          <w:tcPr>
            <w:tcW w:w="1191" w:type="dxa"/>
            <w:tcBorders>
              <w:top w:val="nil"/>
            </w:tcBorders>
          </w:tcPr>
          <w:p>
            <w:pPr>
              <w:pStyle w:val="0"/>
              <w:jc w:val="center"/>
            </w:pPr>
            <w:r>
              <w:rPr>
                <w:sz w:val="20"/>
              </w:rPr>
              <w:t xml:space="preserve">3,0</w:t>
            </w:r>
          </w:p>
        </w:tc>
        <w:tc>
          <w:tcPr>
            <w:tcW w:w="2154" w:type="dxa"/>
            <w:tcBorders>
              <w:top w:val="nil"/>
            </w:tcBorders>
          </w:tcPr>
          <w:p>
            <w:pPr>
              <w:pStyle w:val="0"/>
              <w:jc w:val="center"/>
            </w:pPr>
            <w:r>
              <w:rPr>
                <w:sz w:val="20"/>
              </w:rPr>
              <w:t xml:space="preserve">5,0</w:t>
            </w:r>
          </w:p>
        </w:tc>
      </w:tr>
      <w:tr>
        <w:tc>
          <w:tcPr>
            <w:tcW w:w="2891" w:type="dxa"/>
          </w:tcPr>
          <w:p>
            <w:pPr>
              <w:pStyle w:val="0"/>
            </w:pPr>
            <w:r>
              <w:rPr>
                <w:sz w:val="20"/>
              </w:rPr>
              <w:t xml:space="preserve">Мелкий горох, % не более</w:t>
            </w:r>
          </w:p>
        </w:tc>
        <w:tc>
          <w:tcPr>
            <w:tcW w:w="2835" w:type="dxa"/>
          </w:tcPr>
          <w:p>
            <w:pPr>
              <w:pStyle w:val="0"/>
              <w:jc w:val="center"/>
            </w:pPr>
            <w:r>
              <w:rPr>
                <w:sz w:val="20"/>
              </w:rPr>
              <w:t xml:space="preserve">2,5</w:t>
            </w:r>
          </w:p>
        </w:tc>
        <w:tc>
          <w:tcPr>
            <w:tcW w:w="1191" w:type="dxa"/>
          </w:tcPr>
          <w:p>
            <w:pPr>
              <w:pStyle w:val="0"/>
              <w:jc w:val="center"/>
            </w:pPr>
            <w:r>
              <w:rPr>
                <w:sz w:val="20"/>
              </w:rPr>
              <w:t xml:space="preserve">5,0</w:t>
            </w:r>
          </w:p>
        </w:tc>
        <w:tc>
          <w:tcPr>
            <w:tcW w:w="2154" w:type="dxa"/>
          </w:tcPr>
          <w:p>
            <w:pPr>
              <w:pStyle w:val="0"/>
              <w:jc w:val="center"/>
            </w:pPr>
            <w:r>
              <w:rPr>
                <w:sz w:val="20"/>
              </w:rPr>
              <w:t xml:space="preserve">Не ограничивается</w:t>
            </w:r>
          </w:p>
        </w:tc>
      </w:tr>
    </w:tbl>
    <w:p>
      <w:pPr>
        <w:pStyle w:val="0"/>
        <w:ind w:firstLine="540"/>
        <w:jc w:val="both"/>
      </w:pPr>
      <w:r>
        <w:rPr>
          <w:sz w:val="20"/>
        </w:rPr>
      </w:r>
    </w:p>
    <w:p>
      <w:pPr>
        <w:pStyle w:val="0"/>
        <w:ind w:firstLine="540"/>
        <w:jc w:val="both"/>
      </w:pPr>
      <w:r>
        <w:rPr>
          <w:sz w:val="20"/>
        </w:rPr>
        <w:t xml:space="preserve">5.2 Содержание токсичных элементов, микотоксинов, бенз(a)пирена, пестицидов, радионуклидов, вредных примесей, генно-модифицированных организмов (далее - ГМО), зараженность вредителями и загрязненность мертвыми насекомыми-вредителями в горохе не должны превышать допустимые уровни, установленные </w:t>
      </w:r>
      <w:hyperlink w:history="0" w:anchor="P353" w:tooltip="[1]">
        <w:r>
          <w:rPr>
            <w:sz w:val="20"/>
            <w:color w:val="0000ff"/>
          </w:rPr>
          <w:t xml:space="preserve">[1]</w:t>
        </w:r>
      </w:hyperlink>
      <w:r>
        <w:rPr>
          <w:sz w:val="20"/>
        </w:rPr>
        <w:t xml:space="preserve">, </w:t>
      </w:r>
      <w:hyperlink w:history="0" w:anchor="P356" w:tooltip="[2]">
        <w:r>
          <w:rPr>
            <w:sz w:val="20"/>
            <w:color w:val="0000ff"/>
          </w:rPr>
          <w:t xml:space="preserve">[2]</w:t>
        </w:r>
      </w:hyperlink>
      <w:r>
        <w:rPr>
          <w:sz w:val="20"/>
        </w:rPr>
        <w:t xml:space="preserve"> или нормативными правовыми актами, действующими на территории государства, принявшего стандарт.</w:t>
      </w:r>
    </w:p>
    <w:p>
      <w:pPr>
        <w:pStyle w:val="0"/>
        <w:spacing w:before="200" w:line-rule="auto"/>
        <w:ind w:firstLine="540"/>
        <w:jc w:val="both"/>
      </w:pPr>
      <w:r>
        <w:rPr>
          <w:sz w:val="20"/>
          <w:b w:val="on"/>
        </w:rPr>
        <w:t xml:space="preserve">5.3 Состав основных семян, сорной и зерновой примесей</w:t>
      </w:r>
    </w:p>
    <w:p>
      <w:pPr>
        <w:pStyle w:val="0"/>
        <w:spacing w:before="200" w:line-rule="auto"/>
        <w:ind w:firstLine="540"/>
        <w:jc w:val="both"/>
      </w:pPr>
      <w:r>
        <w:rPr>
          <w:sz w:val="20"/>
        </w:rPr>
        <w:t xml:space="preserve">5.3.1 К основным семенам относят:</w:t>
      </w:r>
    </w:p>
    <w:p>
      <w:pPr>
        <w:pStyle w:val="0"/>
        <w:spacing w:before="200" w:line-rule="auto"/>
        <w:ind w:firstLine="540"/>
        <w:jc w:val="both"/>
      </w:pPr>
      <w:r>
        <w:rPr>
          <w:sz w:val="20"/>
        </w:rPr>
        <w:t xml:space="preserve">- целые и поврежденные семена гороха, по характеру их повреждений и выполненности не отнесенные к сорной и зерновой примесям, а также целые семядоли и битые семена, если осталось более половины семени, в количестве до 10% включительно (свыше 10% целые семядоли и битые семена относят к зерновой примеси).</w:t>
      </w:r>
    </w:p>
    <w:p>
      <w:pPr>
        <w:pStyle w:val="0"/>
        <w:spacing w:before="200" w:line-rule="auto"/>
        <w:ind w:firstLine="540"/>
        <w:jc w:val="both"/>
      </w:pPr>
      <w:r>
        <w:rPr>
          <w:sz w:val="20"/>
        </w:rPr>
        <w:t xml:space="preserve">5.3.2 К сорной примеси относят:</w:t>
      </w:r>
    </w:p>
    <w:p>
      <w:pPr>
        <w:pStyle w:val="0"/>
        <w:spacing w:before="200" w:line-rule="auto"/>
        <w:ind w:firstLine="540"/>
        <w:jc w:val="both"/>
      </w:pPr>
      <w:r>
        <w:rPr>
          <w:sz w:val="20"/>
        </w:rPr>
        <w:t xml:space="preserve">- весь проход через сито с отверстиями диаметром 2,5 мм;</w:t>
      </w:r>
    </w:p>
    <w:p>
      <w:pPr>
        <w:pStyle w:val="0"/>
        <w:spacing w:before="200" w:line-rule="auto"/>
        <w:ind w:firstLine="540"/>
        <w:jc w:val="both"/>
      </w:pPr>
      <w:r>
        <w:rPr>
          <w:sz w:val="20"/>
        </w:rPr>
        <w:t xml:space="preserve">- в остатке на сите с отверстиями диаметром 2,5 мм:</w:t>
      </w:r>
    </w:p>
    <w:p>
      <w:pPr>
        <w:pStyle w:val="0"/>
        <w:spacing w:before="200" w:line-rule="auto"/>
        <w:ind w:firstLine="540"/>
        <w:jc w:val="both"/>
      </w:pPr>
      <w:r>
        <w:rPr>
          <w:sz w:val="20"/>
        </w:rPr>
        <w:t xml:space="preserve">а) минеральную примесь - гальку, комочки земли, шлак, руду и т.п.;</w:t>
      </w:r>
    </w:p>
    <w:p>
      <w:pPr>
        <w:pStyle w:val="0"/>
        <w:spacing w:before="200" w:line-rule="auto"/>
        <w:ind w:firstLine="540"/>
        <w:jc w:val="both"/>
      </w:pPr>
      <w:r>
        <w:rPr>
          <w:sz w:val="20"/>
        </w:rPr>
        <w:t xml:space="preserve">б) органическую примесь - семенные оболочки, части стеблей, листьев, створки бобов и т.п.;</w:t>
      </w:r>
    </w:p>
    <w:p>
      <w:pPr>
        <w:pStyle w:val="0"/>
        <w:spacing w:before="200" w:line-rule="auto"/>
        <w:ind w:firstLine="540"/>
        <w:jc w:val="both"/>
      </w:pPr>
      <w:r>
        <w:rPr>
          <w:sz w:val="20"/>
        </w:rPr>
        <w:t xml:space="preserve">в) семена дикорастущих растений;</w:t>
      </w:r>
    </w:p>
    <w:p>
      <w:pPr>
        <w:pStyle w:val="0"/>
        <w:spacing w:before="200" w:line-rule="auto"/>
        <w:ind w:firstLine="540"/>
        <w:jc w:val="both"/>
      </w:pPr>
      <w:r>
        <w:rPr>
          <w:sz w:val="20"/>
        </w:rPr>
        <w:t xml:space="preserve">г) испорченные семена гороха, фасоли, нута, чины, чечевицы - все с явно испорченными семядолями и (или) полностью измененным цветом;</w:t>
      </w:r>
    </w:p>
    <w:p>
      <w:pPr>
        <w:pStyle w:val="0"/>
        <w:spacing w:before="200" w:line-rule="auto"/>
        <w:ind w:firstLine="540"/>
        <w:jc w:val="both"/>
      </w:pPr>
      <w:r>
        <w:rPr>
          <w:sz w:val="20"/>
        </w:rPr>
        <w:t xml:space="preserve">д) вредную примесь, состав которой установлен в </w:t>
      </w:r>
      <w:hyperlink w:history="0" w:anchor="P353" w:tooltip="[1]">
        <w:r>
          <w:rPr>
            <w:sz w:val="20"/>
            <w:color w:val="0000ff"/>
          </w:rPr>
          <w:t xml:space="preserve">[1]</w:t>
        </w:r>
      </w:hyperlink>
      <w:r>
        <w:rPr>
          <w:sz w:val="20"/>
        </w:rPr>
        <w:t xml:space="preserve">;</w:t>
      </w:r>
    </w:p>
    <w:p>
      <w:pPr>
        <w:pStyle w:val="0"/>
        <w:spacing w:before="200" w:line-rule="auto"/>
        <w:ind w:firstLine="540"/>
        <w:jc w:val="both"/>
      </w:pPr>
      <w:r>
        <w:rPr>
          <w:sz w:val="20"/>
        </w:rPr>
        <w:t xml:space="preserve">- в горохе 1-го и 2-го классов - зерна и семена культурных растений, кроме неиспорченных семян фасоли, нута, чины и чечевицы;</w:t>
      </w:r>
    </w:p>
    <w:p>
      <w:pPr>
        <w:pStyle w:val="0"/>
        <w:spacing w:before="200" w:line-rule="auto"/>
        <w:ind w:firstLine="540"/>
        <w:jc w:val="both"/>
      </w:pPr>
      <w:r>
        <w:rPr>
          <w:sz w:val="20"/>
        </w:rPr>
        <w:t xml:space="preserve">- в горохе 3-го класса - зерна и семена культурных растений, отнесенные согласно стандартам на эти культуры по характеру их повреждений к сорной примеси.</w:t>
      </w:r>
    </w:p>
    <w:p>
      <w:pPr>
        <w:pStyle w:val="0"/>
        <w:spacing w:before="200" w:line-rule="auto"/>
        <w:ind w:firstLine="540"/>
        <w:jc w:val="both"/>
      </w:pPr>
      <w:r>
        <w:rPr>
          <w:sz w:val="20"/>
        </w:rPr>
        <w:t xml:space="preserve">5.3.3 К зерновой примеси относят:</w:t>
      </w:r>
    </w:p>
    <w:p>
      <w:pPr>
        <w:pStyle w:val="0"/>
        <w:spacing w:before="200" w:line-rule="auto"/>
        <w:ind w:firstLine="540"/>
        <w:jc w:val="both"/>
      </w:pPr>
      <w:r>
        <w:rPr>
          <w:sz w:val="20"/>
        </w:rPr>
        <w:t xml:space="preserve">- семена гороха в остатке на сите с отверстиями диаметром 2,5 мм:</w:t>
      </w:r>
    </w:p>
    <w:p>
      <w:pPr>
        <w:pStyle w:val="0"/>
        <w:spacing w:before="200" w:line-rule="auto"/>
        <w:ind w:firstLine="540"/>
        <w:jc w:val="both"/>
      </w:pPr>
      <w:r>
        <w:rPr>
          <w:sz w:val="20"/>
        </w:rPr>
        <w:t xml:space="preserve">а) целые семядоли и битые семена, если осталось более половины семени, содержащиеся в количестве более 10%;</w:t>
      </w:r>
    </w:p>
    <w:p>
      <w:pPr>
        <w:pStyle w:val="0"/>
        <w:spacing w:before="200" w:line-rule="auto"/>
        <w:ind w:firstLine="540"/>
        <w:jc w:val="both"/>
      </w:pPr>
      <w:r>
        <w:rPr>
          <w:sz w:val="20"/>
        </w:rPr>
        <w:t xml:space="preserve">б) битые семядоли;</w:t>
      </w:r>
    </w:p>
    <w:p>
      <w:pPr>
        <w:pStyle w:val="0"/>
        <w:spacing w:before="200" w:line-rule="auto"/>
        <w:ind w:firstLine="540"/>
        <w:jc w:val="both"/>
      </w:pPr>
      <w:r>
        <w:rPr>
          <w:sz w:val="20"/>
        </w:rPr>
        <w:t xml:space="preserve">в) давленные;</w:t>
      </w:r>
    </w:p>
    <w:p>
      <w:pPr>
        <w:pStyle w:val="0"/>
        <w:spacing w:before="200" w:line-rule="auto"/>
        <w:ind w:firstLine="540"/>
        <w:jc w:val="both"/>
      </w:pPr>
      <w:r>
        <w:rPr>
          <w:sz w:val="20"/>
        </w:rPr>
        <w:t xml:space="preserve">г) проросшие - с вышедшим наружу корешком и/или ростком;</w:t>
      </w:r>
    </w:p>
    <w:p>
      <w:pPr>
        <w:pStyle w:val="0"/>
        <w:spacing w:before="200" w:line-rule="auto"/>
        <w:ind w:firstLine="540"/>
        <w:jc w:val="both"/>
      </w:pPr>
      <w:r>
        <w:rPr>
          <w:sz w:val="20"/>
        </w:rPr>
        <w:t xml:space="preserve">д) недоразвитые - целые семена, прошедшие через сито с отверстиями диаметром 4 мм;</w:t>
      </w:r>
    </w:p>
    <w:p>
      <w:pPr>
        <w:pStyle w:val="0"/>
        <w:spacing w:before="200" w:line-rule="auto"/>
        <w:ind w:firstLine="540"/>
        <w:jc w:val="both"/>
      </w:pPr>
      <w:r>
        <w:rPr>
          <w:sz w:val="20"/>
        </w:rPr>
        <w:t xml:space="preserve">е) поврежденные листоверткой и/или гороховой зерновкой, имеющие внутри семени жука или личинку или следы их пребывания в виде свободной полости;</w:t>
      </w:r>
    </w:p>
    <w:p>
      <w:pPr>
        <w:pStyle w:val="0"/>
        <w:spacing w:before="200" w:line-rule="auto"/>
        <w:ind w:firstLine="540"/>
        <w:jc w:val="both"/>
      </w:pPr>
      <w:r>
        <w:rPr>
          <w:sz w:val="20"/>
        </w:rPr>
        <w:t xml:space="preserve">ж) поврежденные - с частично измененным цветом семядолей;</w:t>
      </w:r>
    </w:p>
    <w:p>
      <w:pPr>
        <w:pStyle w:val="0"/>
        <w:spacing w:before="200" w:line-rule="auto"/>
        <w:ind w:firstLine="540"/>
        <w:jc w:val="both"/>
      </w:pPr>
      <w:r>
        <w:rPr>
          <w:sz w:val="20"/>
        </w:rPr>
        <w:t xml:space="preserve">и) в горохе 1-го и 2-го классов относят также семена фасоли, нута, чины и чечевицы, целые и поврежденные, не отнесенные по характеру их повреждений к сорной примеси, а в горохе 3-го класса - зерна и семена других культурных растений, целые и поврежденные, не отнесенные согласно стандартам на эти культуры по характеру их повреждений к сорной примеси.</w:t>
      </w:r>
    </w:p>
    <w:p>
      <w:pPr>
        <w:pStyle w:val="0"/>
        <w:spacing w:before="200" w:line-rule="auto"/>
        <w:ind w:firstLine="540"/>
        <w:jc w:val="both"/>
      </w:pPr>
      <w:r>
        <w:rPr>
          <w:sz w:val="20"/>
        </w:rPr>
        <w:t xml:space="preserve">5.3.4 К мелким относят целые семена гороха, проходящие через сито с отверстиями диаметром 5 мм и не отнесенные по характеру повреждений к сорной и зерновой примесям.</w:t>
      </w:r>
    </w:p>
    <w:p>
      <w:pPr>
        <w:pStyle w:val="0"/>
        <w:spacing w:before="200" w:line-rule="auto"/>
        <w:ind w:firstLine="540"/>
        <w:jc w:val="both"/>
      </w:pPr>
      <w:r>
        <w:rPr>
          <w:sz w:val="20"/>
        </w:rPr>
        <w:t xml:space="preserve">5.4 Класс гороха определяют после его послеуборочной обработки на технологических линиях очистки и сушки по всем показателям, установленным в </w:t>
      </w:r>
      <w:hyperlink w:history="0" w:anchor="P160" w:tooltip="Таблица 2">
        <w:r>
          <w:rPr>
            <w:sz w:val="20"/>
            <w:color w:val="0000ff"/>
          </w:rPr>
          <w:t xml:space="preserve">таблице 2</w:t>
        </w:r>
      </w:hyperlink>
      <w:r>
        <w:rPr>
          <w:sz w:val="20"/>
        </w:rPr>
        <w:t xml:space="preserve">, по наихудшему значению одного из показателей.</w:t>
      </w:r>
    </w:p>
    <w:p>
      <w:pPr>
        <w:pStyle w:val="0"/>
        <w:spacing w:before="200" w:line-rule="auto"/>
        <w:ind w:firstLine="540"/>
        <w:jc w:val="both"/>
      </w:pPr>
      <w:r>
        <w:rPr>
          <w:sz w:val="20"/>
        </w:rPr>
        <w:t xml:space="preserve">5.5 Нормы для гороха, поставляемого консервной промышленности, указаны в </w:t>
      </w:r>
      <w:hyperlink w:history="0" w:anchor="P244" w:tooltip="Таблица 3">
        <w:r>
          <w:rPr>
            <w:sz w:val="20"/>
            <w:color w:val="0000ff"/>
          </w:rPr>
          <w:t xml:space="preserve">таблице 3</w:t>
        </w:r>
      </w:hyperlink>
      <w:r>
        <w:rPr>
          <w:sz w:val="20"/>
        </w:rPr>
        <w:t xml:space="preserve">.</w:t>
      </w:r>
    </w:p>
    <w:p>
      <w:pPr>
        <w:pStyle w:val="0"/>
        <w:ind w:firstLine="540"/>
        <w:jc w:val="both"/>
      </w:pPr>
      <w:r>
        <w:rPr>
          <w:sz w:val="20"/>
        </w:rPr>
      </w:r>
    </w:p>
    <w:bookmarkStart w:id="244" w:name="P244"/>
    <w:bookmarkEnd w:id="244"/>
    <w:p>
      <w:pPr>
        <w:pStyle w:val="0"/>
        <w:jc w:val="right"/>
      </w:pPr>
      <w:r>
        <w:rPr>
          <w:sz w:val="20"/>
        </w:rPr>
        <w:t xml:space="preserve">Таблица 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613"/>
        <w:gridCol w:w="3458"/>
      </w:tblGrid>
      <w:tr>
        <w:tblPrEx>
          <w:tblBorders>
            <w:insideH w:val="single" w:sz="4"/>
          </w:tblBorders>
        </w:tblPrEx>
        <w:tc>
          <w:tcPr>
            <w:tcW w:w="5613" w:type="dxa"/>
            <w:vAlign w:val="center"/>
            <w:tcBorders>
              <w:top w:val="single" w:sz="4"/>
              <w:bottom w:val="single" w:sz="4"/>
            </w:tcBorders>
          </w:tcPr>
          <w:p>
            <w:pPr>
              <w:pStyle w:val="0"/>
              <w:jc w:val="center"/>
            </w:pPr>
            <w:r>
              <w:rPr>
                <w:sz w:val="20"/>
              </w:rPr>
              <w:t xml:space="preserve">Наименование показателя</w:t>
            </w:r>
          </w:p>
        </w:tc>
        <w:tc>
          <w:tcPr>
            <w:tcW w:w="3458" w:type="dxa"/>
            <w:vAlign w:val="center"/>
            <w:tcBorders>
              <w:top w:val="single" w:sz="4"/>
              <w:bottom w:val="single" w:sz="4"/>
            </w:tcBorders>
          </w:tcPr>
          <w:p>
            <w:pPr>
              <w:pStyle w:val="0"/>
              <w:jc w:val="center"/>
            </w:pPr>
            <w:r>
              <w:rPr>
                <w:sz w:val="20"/>
              </w:rPr>
              <w:t xml:space="preserve">Норма</w:t>
            </w:r>
          </w:p>
        </w:tc>
      </w:tr>
      <w:tr>
        <w:tblPrEx>
          <w:tblBorders>
            <w:insideH w:val="single" w:sz="4"/>
          </w:tblBorders>
        </w:tblPrEx>
        <w:tc>
          <w:tcPr>
            <w:tcW w:w="5613" w:type="dxa"/>
            <w:tcBorders>
              <w:top w:val="single" w:sz="4"/>
              <w:bottom w:val="single" w:sz="4"/>
            </w:tcBorders>
          </w:tcPr>
          <w:p>
            <w:pPr>
              <w:pStyle w:val="0"/>
            </w:pPr>
            <w:r>
              <w:rPr>
                <w:sz w:val="20"/>
              </w:rPr>
              <w:t xml:space="preserve">Тип</w:t>
            </w:r>
          </w:p>
        </w:tc>
        <w:tc>
          <w:tcPr>
            <w:tcW w:w="3458" w:type="dxa"/>
            <w:tcBorders>
              <w:top w:val="single" w:sz="4"/>
              <w:bottom w:val="single" w:sz="4"/>
            </w:tcBorders>
          </w:tcPr>
          <w:p>
            <w:pPr>
              <w:pStyle w:val="0"/>
              <w:jc w:val="center"/>
            </w:pPr>
            <w:r>
              <w:rPr>
                <w:sz w:val="20"/>
              </w:rPr>
              <w:t xml:space="preserve">I тип, 1-й и 2-й подтип.</w:t>
            </w:r>
          </w:p>
          <w:p>
            <w:pPr>
              <w:pStyle w:val="0"/>
              <w:jc w:val="center"/>
            </w:pPr>
            <w:r>
              <w:rPr>
                <w:sz w:val="20"/>
              </w:rPr>
              <w:t xml:space="preserve">Смесь типов и подтипов не допускается</w:t>
            </w:r>
          </w:p>
        </w:tc>
      </w:tr>
      <w:tr>
        <w:tblPrEx>
          <w:tblBorders>
            <w:insideH w:val="single" w:sz="4"/>
          </w:tblBorders>
        </w:tblPrEx>
        <w:tc>
          <w:tcPr>
            <w:tcW w:w="5613" w:type="dxa"/>
            <w:tcBorders>
              <w:top w:val="single" w:sz="4"/>
              <w:bottom w:val="single" w:sz="4"/>
            </w:tcBorders>
          </w:tcPr>
          <w:p>
            <w:pPr>
              <w:pStyle w:val="0"/>
            </w:pPr>
            <w:r>
              <w:rPr>
                <w:sz w:val="20"/>
              </w:rPr>
              <w:t xml:space="preserve">Влажность, %, не более</w:t>
            </w:r>
          </w:p>
        </w:tc>
        <w:tc>
          <w:tcPr>
            <w:tcW w:w="3458" w:type="dxa"/>
            <w:tcBorders>
              <w:top w:val="single" w:sz="4"/>
              <w:bottom w:val="single" w:sz="4"/>
            </w:tcBorders>
          </w:tcPr>
          <w:p>
            <w:pPr>
              <w:pStyle w:val="0"/>
              <w:jc w:val="center"/>
            </w:pPr>
            <w:r>
              <w:rPr>
                <w:sz w:val="20"/>
              </w:rPr>
              <w:t xml:space="preserve">14,0</w:t>
            </w:r>
          </w:p>
        </w:tc>
      </w:tr>
      <w:tr>
        <w:tc>
          <w:tcPr>
            <w:tcW w:w="5613" w:type="dxa"/>
            <w:tcBorders>
              <w:top w:val="single" w:sz="4"/>
              <w:bottom w:val="nil"/>
            </w:tcBorders>
          </w:tcPr>
          <w:p>
            <w:pPr>
              <w:pStyle w:val="0"/>
            </w:pPr>
            <w:r>
              <w:rPr>
                <w:sz w:val="20"/>
              </w:rPr>
              <w:t xml:space="preserve">Сорная примесь, %, не более, в том числе:</w:t>
            </w:r>
          </w:p>
        </w:tc>
        <w:tc>
          <w:tcPr>
            <w:tcW w:w="3458" w:type="dxa"/>
            <w:tcBorders>
              <w:top w:val="single" w:sz="4"/>
              <w:bottom w:val="nil"/>
            </w:tcBorders>
          </w:tcPr>
          <w:p>
            <w:pPr>
              <w:pStyle w:val="0"/>
              <w:jc w:val="center"/>
            </w:pPr>
            <w:r>
              <w:rPr>
                <w:sz w:val="20"/>
              </w:rPr>
              <w:t xml:space="preserve">0,5</w:t>
            </w:r>
          </w:p>
        </w:tc>
      </w:tr>
      <w:tr>
        <w:tc>
          <w:tcPr>
            <w:tcW w:w="5613" w:type="dxa"/>
            <w:tcBorders>
              <w:top w:val="nil"/>
              <w:bottom w:val="nil"/>
            </w:tcBorders>
          </w:tcPr>
          <w:p>
            <w:pPr>
              <w:pStyle w:val="0"/>
              <w:ind w:firstLine="284"/>
            </w:pPr>
            <w:r>
              <w:rPr>
                <w:sz w:val="20"/>
              </w:rPr>
              <w:t xml:space="preserve">вредная примесь;</w:t>
            </w:r>
          </w:p>
        </w:tc>
        <w:tc>
          <w:tcPr>
            <w:tcW w:w="3458" w:type="dxa"/>
            <w:tcBorders>
              <w:top w:val="nil"/>
              <w:bottom w:val="nil"/>
            </w:tcBorders>
          </w:tcPr>
          <w:p>
            <w:pPr>
              <w:pStyle w:val="0"/>
              <w:jc w:val="center"/>
            </w:pPr>
            <w:r>
              <w:rPr>
                <w:sz w:val="20"/>
              </w:rPr>
              <w:t xml:space="preserve">Не допускается</w:t>
            </w:r>
          </w:p>
        </w:tc>
      </w:tr>
      <w:tr>
        <w:tc>
          <w:tcPr>
            <w:tcW w:w="5613" w:type="dxa"/>
            <w:tcBorders>
              <w:top w:val="nil"/>
              <w:bottom w:val="nil"/>
            </w:tcBorders>
          </w:tcPr>
          <w:p>
            <w:pPr>
              <w:pStyle w:val="0"/>
              <w:ind w:firstLine="284"/>
            </w:pPr>
            <w:r>
              <w:rPr>
                <w:sz w:val="20"/>
              </w:rPr>
              <w:t xml:space="preserve">минеральная примесь,</w:t>
            </w:r>
          </w:p>
        </w:tc>
        <w:tc>
          <w:tcPr>
            <w:tcW w:w="3458" w:type="dxa"/>
            <w:tcBorders>
              <w:top w:val="nil"/>
              <w:bottom w:val="nil"/>
            </w:tcBorders>
          </w:tcPr>
          <w:p>
            <w:pPr>
              <w:pStyle w:val="0"/>
              <w:jc w:val="center"/>
            </w:pPr>
            <w:r>
              <w:rPr>
                <w:sz w:val="20"/>
              </w:rPr>
              <w:t xml:space="preserve">0,1</w:t>
            </w:r>
          </w:p>
        </w:tc>
      </w:tr>
      <w:tr>
        <w:tc>
          <w:tcPr>
            <w:tcW w:w="5613" w:type="dxa"/>
            <w:tcBorders>
              <w:top w:val="nil"/>
              <w:bottom w:val="single" w:sz="4"/>
            </w:tcBorders>
          </w:tcPr>
          <w:p>
            <w:pPr>
              <w:pStyle w:val="0"/>
              <w:ind w:firstLine="567"/>
            </w:pPr>
            <w:r>
              <w:rPr>
                <w:sz w:val="20"/>
              </w:rPr>
              <w:t xml:space="preserve">в том числе, галька, шлак, руда</w:t>
            </w:r>
          </w:p>
        </w:tc>
        <w:tc>
          <w:tcPr>
            <w:tcW w:w="3458" w:type="dxa"/>
            <w:tcBorders>
              <w:top w:val="nil"/>
              <w:bottom w:val="single" w:sz="4"/>
            </w:tcBorders>
          </w:tcPr>
          <w:p>
            <w:pPr>
              <w:pStyle w:val="0"/>
              <w:jc w:val="center"/>
            </w:pPr>
            <w:r>
              <w:rPr>
                <w:sz w:val="20"/>
              </w:rPr>
              <w:t xml:space="preserve">Не допускается</w:t>
            </w:r>
          </w:p>
        </w:tc>
      </w:tr>
      <w:tr>
        <w:tc>
          <w:tcPr>
            <w:tcW w:w="5613" w:type="dxa"/>
            <w:tcBorders>
              <w:top w:val="single" w:sz="4"/>
              <w:bottom w:val="nil"/>
            </w:tcBorders>
          </w:tcPr>
          <w:p>
            <w:pPr>
              <w:pStyle w:val="0"/>
            </w:pPr>
            <w:r>
              <w:rPr>
                <w:sz w:val="20"/>
              </w:rPr>
              <w:t xml:space="preserve">Зерновая примесь, %, не более, в том числе:</w:t>
            </w:r>
          </w:p>
        </w:tc>
        <w:tc>
          <w:tcPr>
            <w:tcW w:w="3458" w:type="dxa"/>
            <w:vAlign w:val="bottom"/>
            <w:tcBorders>
              <w:top w:val="single" w:sz="4"/>
              <w:bottom w:val="nil"/>
            </w:tcBorders>
          </w:tcPr>
          <w:p>
            <w:pPr>
              <w:pStyle w:val="0"/>
              <w:jc w:val="center"/>
            </w:pPr>
            <w:r>
              <w:rPr>
                <w:sz w:val="20"/>
              </w:rPr>
              <w:t xml:space="preserve">2,0</w:t>
            </w:r>
          </w:p>
        </w:tc>
      </w:tr>
      <w:tr>
        <w:tc>
          <w:tcPr>
            <w:tcW w:w="5613" w:type="dxa"/>
            <w:tcBorders>
              <w:top w:val="nil"/>
              <w:bottom w:val="nil"/>
            </w:tcBorders>
          </w:tcPr>
          <w:p>
            <w:pPr>
              <w:pStyle w:val="0"/>
              <w:ind w:left="284"/>
            </w:pPr>
            <w:r>
              <w:rPr>
                <w:sz w:val="20"/>
              </w:rPr>
              <w:t xml:space="preserve">семена, поврежденные гороховой зерновкой и/или листоверткой,</w:t>
            </w:r>
          </w:p>
        </w:tc>
        <w:tc>
          <w:tcPr>
            <w:tcW w:w="3458" w:type="dxa"/>
            <w:vAlign w:val="bottom"/>
            <w:tcBorders>
              <w:top w:val="nil"/>
              <w:bottom w:val="nil"/>
            </w:tcBorders>
          </w:tcPr>
          <w:p>
            <w:pPr>
              <w:pStyle w:val="0"/>
              <w:jc w:val="center"/>
            </w:pPr>
            <w:r>
              <w:rPr>
                <w:sz w:val="20"/>
              </w:rPr>
              <w:t xml:space="preserve">0,5</w:t>
            </w:r>
          </w:p>
        </w:tc>
      </w:tr>
      <w:tr>
        <w:tc>
          <w:tcPr>
            <w:tcW w:w="5613" w:type="dxa"/>
            <w:tcBorders>
              <w:top w:val="nil"/>
              <w:bottom w:val="single" w:sz="4"/>
            </w:tcBorders>
          </w:tcPr>
          <w:p>
            <w:pPr>
              <w:pStyle w:val="0"/>
              <w:ind w:left="567"/>
            </w:pPr>
            <w:r>
              <w:rPr>
                <w:sz w:val="20"/>
              </w:rPr>
              <w:t xml:space="preserve">в том числе, с наличием живых жуков или их личинок</w:t>
            </w:r>
          </w:p>
        </w:tc>
        <w:tc>
          <w:tcPr>
            <w:tcW w:w="3458" w:type="dxa"/>
            <w:tcBorders>
              <w:top w:val="nil"/>
              <w:bottom w:val="single" w:sz="4"/>
            </w:tcBorders>
          </w:tcPr>
          <w:p>
            <w:pPr>
              <w:pStyle w:val="0"/>
              <w:jc w:val="center"/>
            </w:pPr>
            <w:r>
              <w:rPr>
                <w:sz w:val="20"/>
              </w:rPr>
              <w:t xml:space="preserve">Не допускается</w:t>
            </w:r>
          </w:p>
        </w:tc>
      </w:tr>
    </w:tbl>
    <w:p>
      <w:pPr>
        <w:pStyle w:val="0"/>
        <w:ind w:firstLine="540"/>
        <w:jc w:val="both"/>
      </w:pPr>
      <w:r>
        <w:rPr>
          <w:sz w:val="20"/>
        </w:rPr>
      </w:r>
    </w:p>
    <w:p>
      <w:pPr>
        <w:pStyle w:val="2"/>
        <w:outlineLvl w:val="1"/>
        <w:ind w:firstLine="540"/>
        <w:jc w:val="both"/>
      </w:pPr>
      <w:r>
        <w:rPr>
          <w:sz w:val="20"/>
          <w:b w:val="on"/>
        </w:rPr>
        <w:t xml:space="preserve">6 Требования безопасности</w:t>
      </w:r>
    </w:p>
    <w:p>
      <w:pPr>
        <w:pStyle w:val="0"/>
        <w:ind w:firstLine="540"/>
        <w:jc w:val="both"/>
      </w:pPr>
      <w:r>
        <w:rPr>
          <w:sz w:val="20"/>
        </w:rPr>
      </w:r>
    </w:p>
    <w:p>
      <w:pPr>
        <w:pStyle w:val="0"/>
        <w:ind w:firstLine="540"/>
        <w:jc w:val="both"/>
      </w:pPr>
      <w:r>
        <w:rPr>
          <w:sz w:val="20"/>
        </w:rPr>
        <w:t xml:space="preserve">6.1 Склады и зернохранилища для размещения гороха должны быть оснащены вентиляционными системами по </w:t>
      </w:r>
      <w:hyperlink w:history="0" r:id="rId59" w:tooltip="Ссылка на КонсультантПлюс">
        <w:r>
          <w:rPr>
            <w:sz w:val="20"/>
            <w:color w:val="0000ff"/>
          </w:rPr>
          <w:t xml:space="preserve">ГОСТ 12.4.021</w:t>
        </w:r>
      </w:hyperlink>
      <w:r>
        <w:rPr>
          <w:sz w:val="20"/>
        </w:rPr>
        <w:t xml:space="preserve">, соответствовать требованиям пожарной безопасности по </w:t>
      </w:r>
      <w:hyperlink w:history="0" r:id="rId60" w:tooltip="Ссылка на КонсультантПлюс">
        <w:r>
          <w:rPr>
            <w:sz w:val="20"/>
            <w:color w:val="0000ff"/>
          </w:rPr>
          <w:t xml:space="preserve">ГОСТ 12.1.004</w:t>
        </w:r>
      </w:hyperlink>
      <w:r>
        <w:rPr>
          <w:sz w:val="20"/>
        </w:rPr>
        <w:t xml:space="preserve">, иметь средства пожаротушения по </w:t>
      </w:r>
      <w:hyperlink w:history="0" r:id="rId61" w:tooltip="Ссылка на КонсультантПлюс">
        <w:r>
          <w:rPr>
            <w:sz w:val="20"/>
            <w:color w:val="0000ff"/>
          </w:rPr>
          <w:t xml:space="preserve">ГОСТ 12.4.009</w:t>
        </w:r>
      </w:hyperlink>
      <w:r>
        <w:rPr>
          <w:sz w:val="20"/>
        </w:rPr>
        <w:t xml:space="preserve">.</w:t>
      </w:r>
    </w:p>
    <w:p>
      <w:pPr>
        <w:pStyle w:val="0"/>
        <w:spacing w:before="200" w:line-rule="auto"/>
        <w:ind w:firstLine="540"/>
        <w:jc w:val="both"/>
      </w:pPr>
      <w:r>
        <w:rPr>
          <w:sz w:val="20"/>
        </w:rPr>
        <w:t xml:space="preserve">6.2 Производственное оборудование должно соответствовать требованиям безопасности по </w:t>
      </w:r>
      <w:hyperlink w:history="0" r:id="rId62" w:tooltip="Ссылка на КонсультантПлюс">
        <w:r>
          <w:rPr>
            <w:sz w:val="20"/>
            <w:color w:val="0000ff"/>
          </w:rPr>
          <w:t xml:space="preserve">ГОСТ 12.2.003</w:t>
        </w:r>
      </w:hyperlink>
      <w:r>
        <w:rPr>
          <w:sz w:val="20"/>
        </w:rPr>
        <w:t xml:space="preserve">.</w:t>
      </w:r>
    </w:p>
    <w:p>
      <w:pPr>
        <w:pStyle w:val="0"/>
        <w:spacing w:before="200" w:line-rule="auto"/>
        <w:ind w:firstLine="540"/>
        <w:jc w:val="both"/>
      </w:pPr>
      <w:r>
        <w:rPr>
          <w:sz w:val="20"/>
        </w:rPr>
        <w:t xml:space="preserve">6.3 Содержание пыли в воздухе рабочей зоны не должно превышать допустимых значений по </w:t>
      </w:r>
      <w:hyperlink w:history="0" r:id="rId63" w:tooltip="Ссылка на КонсультантПлюс">
        <w:r>
          <w:rPr>
            <w:sz w:val="20"/>
            <w:color w:val="0000ff"/>
          </w:rPr>
          <w:t xml:space="preserve">ГОСТ 12.1.005</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7 Правила приемки</w:t>
      </w:r>
    </w:p>
    <w:p>
      <w:pPr>
        <w:pStyle w:val="0"/>
        <w:ind w:firstLine="540"/>
        <w:jc w:val="both"/>
      </w:pPr>
      <w:r>
        <w:rPr>
          <w:sz w:val="20"/>
        </w:rPr>
      </w:r>
    </w:p>
    <w:p>
      <w:pPr>
        <w:pStyle w:val="0"/>
        <w:ind w:firstLine="540"/>
        <w:jc w:val="both"/>
      </w:pPr>
      <w:r>
        <w:rPr>
          <w:sz w:val="20"/>
        </w:rPr>
        <w:t xml:space="preserve">7.1 Правила приемки - по </w:t>
      </w:r>
      <w:hyperlink w:history="0" r:id="rId64"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w:t>
      </w:r>
    </w:p>
    <w:p>
      <w:pPr>
        <w:pStyle w:val="0"/>
        <w:spacing w:before="200" w:line-rule="auto"/>
        <w:ind w:firstLine="540"/>
        <w:jc w:val="both"/>
      </w:pPr>
      <w:r>
        <w:rPr>
          <w:sz w:val="20"/>
        </w:rPr>
        <w:t xml:space="preserve">7.2 Горох, содержащий примесь зерен других зерновых культур и семян зернобобовых культур более 15% от массы зерна вместе с примесями, оценивают как смесь гороха с другими культурами с указанием ее состава в процентах.</w:t>
      </w:r>
    </w:p>
    <w:p>
      <w:pPr>
        <w:pStyle w:val="0"/>
        <w:spacing w:before="200" w:line-rule="auto"/>
        <w:ind w:firstLine="540"/>
        <w:jc w:val="both"/>
      </w:pPr>
      <w:r>
        <w:rPr>
          <w:sz w:val="20"/>
        </w:rPr>
        <w:t xml:space="preserve">7.3 Контроль содержания токсичных элементов, микотоксинов, бенз(a)пирена, пестицидов, радионуклидов, ГМО, вредных примесей, зараженности вредителями и загрязненности мертвыми насекомыми-вредителями в горохе осуществляют в соответствии с порядком, установленным изготовителем продукции с учетом требований нормативных документов, действующих на территории государства, принявшего стандарт.</w:t>
      </w:r>
    </w:p>
    <w:p>
      <w:pPr>
        <w:pStyle w:val="0"/>
        <w:spacing w:before="200" w:line-rule="auto"/>
        <w:ind w:firstLine="540"/>
        <w:jc w:val="both"/>
      </w:pPr>
      <w:r>
        <w:rPr>
          <w:sz w:val="20"/>
        </w:rPr>
        <w:t xml:space="preserve">7.4 В каждой партии гороха определяют состояние зерна, запах, цвет, влажность, содержание сорной и зерновой примесей, зараженность вредителями.</w:t>
      </w:r>
    </w:p>
    <w:p>
      <w:pPr>
        <w:pStyle w:val="0"/>
        <w:spacing w:before="200" w:line-rule="auto"/>
        <w:ind w:firstLine="540"/>
        <w:jc w:val="both"/>
      </w:pPr>
      <w:r>
        <w:rPr>
          <w:sz w:val="20"/>
        </w:rPr>
        <w:t xml:space="preserve">7.5 Каждая партия гороха должна сопровождаться товаросопроводительными документами в соответствии с требованиями </w:t>
      </w:r>
      <w:hyperlink w:history="0" w:anchor="P353" w:tooltip="[1]">
        <w:r>
          <w:rPr>
            <w:sz w:val="20"/>
            <w:color w:val="0000ff"/>
          </w:rPr>
          <w:t xml:space="preserve">[1]</w:t>
        </w:r>
      </w:hyperlink>
      <w:r>
        <w:rPr>
          <w:sz w:val="20"/>
        </w:rPr>
        <w:t xml:space="preserve">, </w:t>
      </w:r>
      <w:hyperlink w:history="0" w:anchor="P356" w:tooltip="[2]">
        <w:r>
          <w:rPr>
            <w:sz w:val="20"/>
            <w:color w:val="0000ff"/>
          </w:rPr>
          <w:t xml:space="preserve">[2]</w:t>
        </w:r>
      </w:hyperlink>
      <w:r>
        <w:rPr>
          <w:sz w:val="20"/>
        </w:rPr>
        <w:t xml:space="preserve"> или нормативных правовых документов, действующих на территории государства, принявшего стандарт.</w:t>
      </w:r>
    </w:p>
    <w:p>
      <w:pPr>
        <w:pStyle w:val="0"/>
        <w:ind w:firstLine="540"/>
        <w:jc w:val="both"/>
      </w:pPr>
      <w:r>
        <w:rPr>
          <w:sz w:val="20"/>
        </w:rPr>
      </w:r>
    </w:p>
    <w:p>
      <w:pPr>
        <w:pStyle w:val="2"/>
        <w:outlineLvl w:val="1"/>
        <w:ind w:firstLine="540"/>
        <w:jc w:val="both"/>
      </w:pPr>
      <w:r>
        <w:rPr>
          <w:sz w:val="20"/>
          <w:b w:val="on"/>
        </w:rPr>
        <w:t xml:space="preserve">8 Методы контроля</w:t>
      </w:r>
    </w:p>
    <w:p>
      <w:pPr>
        <w:pStyle w:val="0"/>
        <w:ind w:firstLine="540"/>
        <w:jc w:val="both"/>
      </w:pPr>
      <w:r>
        <w:rPr>
          <w:sz w:val="20"/>
        </w:rPr>
      </w:r>
    </w:p>
    <w:p>
      <w:pPr>
        <w:pStyle w:val="0"/>
        <w:ind w:firstLine="540"/>
        <w:jc w:val="both"/>
      </w:pPr>
      <w:r>
        <w:rPr>
          <w:sz w:val="20"/>
        </w:rPr>
        <w:t xml:space="preserve">8.1 Отбор проб - по </w:t>
      </w:r>
      <w:hyperlink w:history="0" r:id="rId65"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w:t>
      </w:r>
    </w:p>
    <w:p>
      <w:pPr>
        <w:pStyle w:val="0"/>
        <w:spacing w:before="200" w:line-rule="auto"/>
        <w:ind w:firstLine="540"/>
        <w:jc w:val="both"/>
      </w:pPr>
      <w:r>
        <w:rPr>
          <w:sz w:val="20"/>
        </w:rPr>
        <w:t xml:space="preserve">8.2 Определение запаха, цвета и обесцвеченности - по </w:t>
      </w:r>
      <w:hyperlink w:history="0" r:id="rId66" w:tooltip="&quot;ГОСТ 10967-2019. Межгосударственный стандарт. Зерно. Методы определения запаха и цвета&quot; (введен в действие Приказом Росстандарта от 16.07.2019 N 389-ст) {КонсультантПлюс}">
        <w:r>
          <w:rPr>
            <w:sz w:val="20"/>
            <w:color w:val="0000ff"/>
          </w:rPr>
          <w:t xml:space="preserve">ГОСТ 10967</w:t>
        </w:r>
      </w:hyperlink>
      <w:r>
        <w:rPr>
          <w:sz w:val="20"/>
        </w:rPr>
        <w:t xml:space="preserve">.</w:t>
      </w:r>
    </w:p>
    <w:p>
      <w:pPr>
        <w:pStyle w:val="0"/>
        <w:spacing w:before="200" w:line-rule="auto"/>
        <w:ind w:firstLine="540"/>
        <w:jc w:val="both"/>
      </w:pPr>
      <w:r>
        <w:rPr>
          <w:sz w:val="20"/>
        </w:rPr>
        <w:t xml:space="preserve">8.3 Определение влажности - по </w:t>
      </w:r>
      <w:hyperlink w:history="0" r:id="rId67" w:tooltip="&quot;ГОСТ 13586.5-2015. Межгосударственный стандарт. Зерно. Метод определения влажности&quot; (введен в действие Приказом Росстандарта от 31.08.2015 N 1237-ст) (ред. от 10.11.2021) {КонсультантПлюс}">
        <w:r>
          <w:rPr>
            <w:sz w:val="20"/>
            <w:color w:val="0000ff"/>
          </w:rPr>
          <w:t xml:space="preserve">ГОСТ 13586.5</w:t>
        </w:r>
      </w:hyperlink>
      <w:r>
        <w:rPr>
          <w:sz w:val="20"/>
        </w:rPr>
        <w:t xml:space="preserve">.</w:t>
      </w:r>
    </w:p>
    <w:p>
      <w:pPr>
        <w:pStyle w:val="0"/>
        <w:spacing w:before="200" w:line-rule="auto"/>
        <w:ind w:firstLine="540"/>
        <w:jc w:val="both"/>
      </w:pPr>
      <w:r>
        <w:rPr>
          <w:sz w:val="20"/>
        </w:rPr>
        <w:t xml:space="preserve">8.4 Определение сорной и зерновой примесей, мелких зерен - по </w:t>
      </w:r>
      <w:hyperlink w:history="0" r:id="rId68"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w:t>
        </w:r>
      </w:hyperlink>
      <w:r>
        <w:rPr>
          <w:sz w:val="20"/>
        </w:rPr>
        <w:t xml:space="preserve">.</w:t>
      </w:r>
    </w:p>
    <w:p>
      <w:pPr>
        <w:pStyle w:val="0"/>
        <w:spacing w:before="200" w:line-rule="auto"/>
        <w:ind w:firstLine="540"/>
        <w:jc w:val="both"/>
      </w:pPr>
      <w:r>
        <w:rPr>
          <w:sz w:val="20"/>
        </w:rPr>
        <w:t xml:space="preserve">8.5 Определение зараженности вредителями - по </w:t>
      </w:r>
      <w:hyperlink w:history="0" r:id="rId69" w:tooltip="&quot;ГОСТ 13586.4-83. Государственный стандарт Союза ССР. Зерно. Методы определения зараженности и поврежденности вредителями&quot; (утв. и введен в действие Постановлением Госстандарта СССР от 23.05.1983 N 2300) (ред. от 22.09.1997) {КонсультантПлюс}">
        <w:r>
          <w:rPr>
            <w:sz w:val="20"/>
            <w:color w:val="0000ff"/>
          </w:rPr>
          <w:t xml:space="preserve">ГОСТ 13586.4</w:t>
        </w:r>
      </w:hyperlink>
      <w:r>
        <w:rPr>
          <w:sz w:val="20"/>
        </w:rPr>
        <w:t xml:space="preserve">, </w:t>
      </w:r>
      <w:hyperlink w:history="0" r:id="rId70" w:tooltip="&quot;ГОСТ 13586.6-93. Межгосударственный стандарт. Зерно. Методы определения зараженности вредителями&quot; (введен в действие Постановлением Госстандарта России от 02.06.1994 N 160) {КонсультантПлюс}">
        <w:r>
          <w:rPr>
            <w:sz w:val="20"/>
            <w:color w:val="0000ff"/>
          </w:rPr>
          <w:t xml:space="preserve">ГОСТ 13586.6</w:t>
        </w:r>
      </w:hyperlink>
      <w:r>
        <w:rPr>
          <w:sz w:val="20"/>
        </w:rPr>
        <w:t xml:space="preserve">.</w:t>
      </w:r>
    </w:p>
    <w:p>
      <w:pPr>
        <w:pStyle w:val="0"/>
        <w:spacing w:before="200" w:line-rule="auto"/>
        <w:ind w:firstLine="540"/>
        <w:jc w:val="both"/>
      </w:pPr>
      <w:r>
        <w:rPr>
          <w:sz w:val="20"/>
        </w:rPr>
        <w:t xml:space="preserve">8.6 Определение загрязненности вредителями - по </w:t>
      </w:r>
      <w:hyperlink w:history="0" r:id="rId71" w:tooltip="&quot;ГОСТ 34165-2017. Межгосударственный стандарт. Зерновые, зернобобовые и продукты их переработки. Методы определения загрязненности насекомыми-вредителями&quot; (введен в действие Приказом Росстандарта от 31.10.2017 N 1599-ст) {КонсультантПлюс}">
        <w:r>
          <w:rPr>
            <w:sz w:val="20"/>
            <w:color w:val="0000ff"/>
          </w:rPr>
          <w:t xml:space="preserve">ГОСТ 34165</w:t>
        </w:r>
      </w:hyperlink>
      <w:r>
        <w:rPr>
          <w:sz w:val="20"/>
        </w:rPr>
        <w:t xml:space="preserve">.</w:t>
      </w:r>
    </w:p>
    <w:p>
      <w:pPr>
        <w:pStyle w:val="0"/>
        <w:spacing w:before="200" w:line-rule="auto"/>
        <w:ind w:firstLine="540"/>
        <w:jc w:val="both"/>
      </w:pPr>
      <w:r>
        <w:rPr>
          <w:sz w:val="20"/>
        </w:rPr>
        <w:t xml:space="preserve">8.7 Определение типового состава - по </w:t>
      </w:r>
      <w:hyperlink w:history="0" r:id="rId72" w:tooltip="&quot;ГОСТ 10940-64*. Государственный стандарт Союза ССР. Зерно. Методы определения типового состава&quot; (утв. Госстандартом СССР 27.06.1964) (ред. от 01.01.1986) {КонсультантПлюс}">
        <w:r>
          <w:rPr>
            <w:sz w:val="20"/>
            <w:color w:val="0000ff"/>
          </w:rPr>
          <w:t xml:space="preserve">ГОСТ 10940</w:t>
        </w:r>
      </w:hyperlink>
      <w:r>
        <w:rPr>
          <w:sz w:val="20"/>
        </w:rPr>
        <w:t xml:space="preserve">.</w:t>
      </w:r>
    </w:p>
    <w:p>
      <w:pPr>
        <w:pStyle w:val="0"/>
        <w:spacing w:before="200" w:line-rule="auto"/>
        <w:ind w:firstLine="540"/>
        <w:jc w:val="both"/>
      </w:pPr>
      <w:r>
        <w:rPr>
          <w:sz w:val="20"/>
        </w:rPr>
        <w:t xml:space="preserve">8.8 Подготовка проб и минерализация для определения содержания токсичных элементов - по </w:t>
      </w:r>
      <w:hyperlink w:history="0" r:id="rId73" w:tooltip="&quot;ГОСТ EN 13804-2013. Межгосударственный стандарт. Продукты пищевые. Определение следовых элементов. Критерии эффективности методик выполнения измерений, общие положения и способы подготовки проб&quot; (введен в действие Приказом Росстандарта от 27.06.2013 N 238-ст) {КонсультантПлюс}">
        <w:r>
          <w:rPr>
            <w:sz w:val="20"/>
            <w:color w:val="0000ff"/>
          </w:rPr>
          <w:t xml:space="preserve">ГОСТ EN 13804</w:t>
        </w:r>
      </w:hyperlink>
      <w:r>
        <w:rPr>
          <w:sz w:val="20"/>
        </w:rPr>
        <w:t xml:space="preserve">, </w:t>
      </w:r>
      <w:hyperlink w:history="0" r:id="rId74"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w:t>
        </w:r>
      </w:hyperlink>
      <w:r>
        <w:rPr>
          <w:sz w:val="20"/>
        </w:rPr>
        <w:t xml:space="preserve">, </w:t>
      </w:r>
      <w:hyperlink w:history="0" r:id="rId75"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w:t>
        </w:r>
      </w:hyperlink>
      <w:r>
        <w:rPr>
          <w:sz w:val="20"/>
        </w:rPr>
        <w:t xml:space="preserve"> или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8.9 Определение ртути - по </w:t>
      </w:r>
      <w:hyperlink w:history="0" r:id="rId76"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 </w:t>
      </w:r>
      <w:hyperlink w:history="0" r:id="rId77" w:tooltip="&quot;ГОСТ 31650-2012. Межгосударственный стандарт. Средства лекарственные для животных, корма, кормовые добавки. Определение массовой доли ртути методом атомно-абсорбционной спектрометрии&quot; (введен в действие Приказом Росстандарта от 08.10.2012 N 473-ст) {КонсультантПлюс}">
        <w:r>
          <w:rPr>
            <w:sz w:val="20"/>
            <w:color w:val="0000ff"/>
          </w:rPr>
          <w:t xml:space="preserve">ГОСТ 31650</w:t>
        </w:r>
      </w:hyperlink>
      <w:r>
        <w:rPr>
          <w:sz w:val="20"/>
        </w:rPr>
        <w:t xml:space="preserve">, </w:t>
      </w:r>
      <w:hyperlink w:history="0" r:id="rId78" w:tooltip="&quot;ГОСТ 34427-2018. Межгосударственный стандарт. Продукты пищевые и корма для животных. Определение ртути методом атомно-абсорбционной спектрометрии на основе эффекта Зеемана&quot; (введен в действие Приказом Росстандарта от 04.07.2018 N 380-ст) {КонсультантПлюс}">
        <w:r>
          <w:rPr>
            <w:sz w:val="20"/>
            <w:color w:val="0000ff"/>
          </w:rPr>
          <w:t xml:space="preserve">ГОСТ 34427</w:t>
        </w:r>
      </w:hyperlink>
      <w:r>
        <w:rPr>
          <w:sz w:val="20"/>
        </w:rPr>
        <w:t xml:space="preserve">.</w:t>
      </w:r>
    </w:p>
    <w:p>
      <w:pPr>
        <w:pStyle w:val="0"/>
        <w:spacing w:before="200" w:line-rule="auto"/>
        <w:ind w:firstLine="540"/>
        <w:jc w:val="both"/>
      </w:pPr>
      <w:r>
        <w:rPr>
          <w:sz w:val="20"/>
        </w:rPr>
        <w:t xml:space="preserve">8.10 Определение мышьяка - по </w:t>
      </w:r>
      <w:hyperlink w:history="0" r:id="rId79"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w:t>
      </w:r>
      <w:hyperlink w:history="0" r:id="rId80"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 </w:t>
      </w:r>
      <w:hyperlink w:history="0" r:id="rId81"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w:t>
        </w:r>
      </w:hyperlink>
      <w:r>
        <w:rPr>
          <w:sz w:val="20"/>
        </w:rPr>
        <w:t xml:space="preserve">, </w:t>
      </w:r>
      <w:hyperlink w:history="0" r:id="rId82"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w:t>
      </w:r>
    </w:p>
    <w:p>
      <w:pPr>
        <w:pStyle w:val="0"/>
        <w:spacing w:before="200" w:line-rule="auto"/>
        <w:ind w:firstLine="540"/>
        <w:jc w:val="both"/>
      </w:pPr>
      <w:r>
        <w:rPr>
          <w:sz w:val="20"/>
        </w:rPr>
        <w:t xml:space="preserve">8.11 Определение свинца - по </w:t>
      </w:r>
      <w:hyperlink w:history="0" r:id="rId83"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 </w:t>
      </w:r>
      <w:hyperlink w:history="0" r:id="rId84"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w:t>
      </w:r>
      <w:hyperlink w:history="0" r:id="rId85"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w:t>
      </w:r>
      <w:hyperlink w:history="0" r:id="rId86" w:tooltip="&quot;ГОСТ EN 14083-2013. Межгосударственный стандарт.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quot; (введен в действие Приказом Росстандарта от 22.11.2013 N 1745-ст) {КонсультантПлюс}">
        <w:r>
          <w:rPr>
            <w:sz w:val="20"/>
            <w:color w:val="0000ff"/>
          </w:rPr>
          <w:t xml:space="preserve">ГОСТ EN 14083</w:t>
        </w:r>
      </w:hyperlink>
      <w:r>
        <w:rPr>
          <w:sz w:val="20"/>
        </w:rPr>
        <w:t xml:space="preserve">.</w:t>
      </w:r>
    </w:p>
    <w:p>
      <w:pPr>
        <w:pStyle w:val="0"/>
        <w:spacing w:before="200" w:line-rule="auto"/>
        <w:ind w:firstLine="540"/>
        <w:jc w:val="both"/>
      </w:pPr>
      <w:r>
        <w:rPr>
          <w:sz w:val="20"/>
        </w:rPr>
        <w:t xml:space="preserve">8.12 Определение кадмия - по </w:t>
      </w:r>
      <w:hyperlink w:history="0" r:id="rId87"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 </w:t>
      </w:r>
      <w:hyperlink w:history="0" r:id="rId88"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w:t>
      </w:r>
      <w:hyperlink w:history="0" r:id="rId89"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w:t>
      </w:r>
      <w:hyperlink w:history="0" r:id="rId90" w:tooltip="&quot;ГОСТ EN 14083-2013. Межгосударственный стандарт.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quot; (введен в действие Приказом Росстандарта от 22.11.2013 N 1745-ст) {КонсультантПлюс}">
        <w:r>
          <w:rPr>
            <w:sz w:val="20"/>
            <w:color w:val="0000ff"/>
          </w:rPr>
          <w:t xml:space="preserve">ГОСТ EN 14083</w:t>
        </w:r>
      </w:hyperlink>
      <w:r>
        <w:rPr>
          <w:sz w:val="20"/>
        </w:rPr>
        <w:t xml:space="preserve">.</w:t>
      </w:r>
    </w:p>
    <w:p>
      <w:pPr>
        <w:pStyle w:val="0"/>
        <w:spacing w:before="200" w:line-rule="auto"/>
        <w:ind w:firstLine="540"/>
        <w:jc w:val="both"/>
      </w:pPr>
      <w:r>
        <w:rPr>
          <w:sz w:val="20"/>
        </w:rPr>
        <w:t xml:space="preserve">8.13 Определение пестицидов - по </w:t>
      </w:r>
      <w:hyperlink w:history="0" r:id="rId91" w:tooltip="&quot;ГОСТ 13496.20-2014. Межгосударственный стандарт. Корма, комбикорма, комбикормовое сырье. Метод определения остаточных количеств пестицидов&quot; (введен в действие Приказом Росстандарта от 17.11.2014 N 1586-ст) (ред. от 10.08.2017) {КонсультантПлюс}">
        <w:r>
          <w:rPr>
            <w:sz w:val="20"/>
            <w:color w:val="0000ff"/>
          </w:rPr>
          <w:t xml:space="preserve">ГОСТ 13496.20</w:t>
        </w:r>
      </w:hyperlink>
      <w:r>
        <w:rPr>
          <w:sz w:val="20"/>
        </w:rPr>
        <w:t xml:space="preserve">, </w:t>
      </w:r>
      <w:hyperlink w:history="0" r:id="rId92"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w:t>
        </w:r>
      </w:hyperlink>
      <w:r>
        <w:rPr>
          <w:sz w:val="20"/>
        </w:rPr>
        <w:t xml:space="preserve"> или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8.14 Отбор проб для определения микотоксинов - по </w:t>
      </w:r>
      <w:hyperlink w:history="0" r:id="rId93" w:tooltip="&quot;ГОСТ 33303-2015. Межгосударственный стандарт. Продукты пищевые. Методы отбора проб для определения микотоксинов&quot; (введен в действие Приказом Росстандарта от 08.09.2015 N 1287-ст) {КонсультантПлюс}">
        <w:r>
          <w:rPr>
            <w:sz w:val="20"/>
            <w:color w:val="0000ff"/>
          </w:rPr>
          <w:t xml:space="preserve">ГОСТ 33303</w:t>
        </w:r>
      </w:hyperlink>
      <w:r>
        <w:rPr>
          <w:sz w:val="20"/>
        </w:rPr>
        <w:t xml:space="preserve">.</w:t>
      </w:r>
    </w:p>
    <w:p>
      <w:pPr>
        <w:pStyle w:val="0"/>
        <w:spacing w:before="200" w:line-rule="auto"/>
        <w:ind w:firstLine="540"/>
        <w:jc w:val="both"/>
      </w:pPr>
      <w:r>
        <w:rPr>
          <w:sz w:val="20"/>
        </w:rPr>
        <w:t xml:space="preserve">8.15 Определение микотоксинов - по </w:t>
      </w:r>
      <w:hyperlink w:history="0" r:id="rId94"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w:t>
        </w:r>
      </w:hyperlink>
      <w:r>
        <w:rPr>
          <w:sz w:val="20"/>
        </w:rPr>
        <w:t xml:space="preserve">, </w:t>
      </w:r>
      <w:hyperlink w:history="0" r:id="rId95" w:tooltip="&quot;ГОСТ 34108-2017. Межгосударственный стандарт. Корма, комбикорма, комбикормовое сырье. Определение содержания микотоксинов прямым твердофазным конкурентным иммуноферментным методом&quot; (введен в действие Приказом Росстандарта от 15.09.2017 N 1137-ст) (ред. от 01.09.2021) {КонсультантПлюс}">
        <w:r>
          <w:rPr>
            <w:sz w:val="20"/>
            <w:color w:val="0000ff"/>
          </w:rPr>
          <w:t xml:space="preserve">ГОСТ 34108</w:t>
        </w:r>
      </w:hyperlink>
      <w:r>
        <w:rPr>
          <w:sz w:val="20"/>
        </w:rPr>
        <w:t xml:space="preserve">, </w:t>
      </w:r>
      <w:hyperlink w:history="0" r:id="rId96" w:tooltip="&quot;ГОСТ 34140-2017. Межгосударственный стандарт.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quot; (введен в действие Приказом Росстандарта от 18.07.2017 N 719-ст) {КонсультантПлюс}">
        <w:r>
          <w:rPr>
            <w:sz w:val="20"/>
            <w:color w:val="0000ff"/>
          </w:rPr>
          <w:t xml:space="preserve">ГОСТ 34140</w:t>
        </w:r>
      </w:hyperlink>
      <w:r>
        <w:rPr>
          <w:sz w:val="20"/>
        </w:rPr>
        <w:t xml:space="preserve"> или нормативным документам, действующим на территории государства, принявшего стандарт, а также:</w:t>
      </w:r>
    </w:p>
    <w:p>
      <w:pPr>
        <w:pStyle w:val="0"/>
        <w:spacing w:before="200" w:line-rule="auto"/>
        <w:ind w:firstLine="540"/>
        <w:jc w:val="both"/>
      </w:pPr>
      <w:r>
        <w:rPr>
          <w:sz w:val="20"/>
        </w:rPr>
        <w:t xml:space="preserve">- афлатоксина B1 - по </w:t>
      </w:r>
      <w:hyperlink w:history="0" r:id="rId97"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 </w:t>
      </w:r>
      <w:hyperlink w:history="0" r:id="rId98"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w:t>
        </w:r>
      </w:hyperlink>
      <w:r>
        <w:rPr>
          <w:sz w:val="20"/>
        </w:rPr>
        <w:t xml:space="preserve">, </w:t>
      </w:r>
      <w:hyperlink w:history="0" r:id="rId99" w:tooltip="&quot;ГОСТ 33780-2016. Межгосударственный стандарт. Продукты пищевые, корма, комбикорма. Определение содержания афлатоксина B1 методом высокоэффективной жидкостной хроматографии с применением очистки на оксиде алюминия&quot; (введен в действие Приказом Росстандарта от 23.05.2016 N 374-ст) {КонсультантПлюс}">
        <w:r>
          <w:rPr>
            <w:sz w:val="20"/>
            <w:color w:val="0000ff"/>
          </w:rPr>
          <w:t xml:space="preserve">ГОСТ 33780</w:t>
        </w:r>
      </w:hyperlink>
      <w:r>
        <w:rPr>
          <w:sz w:val="20"/>
        </w:rPr>
        <w:t xml:space="preserve">;</w:t>
      </w:r>
    </w:p>
    <w:p>
      <w:pPr>
        <w:pStyle w:val="0"/>
        <w:spacing w:before="200" w:line-rule="auto"/>
        <w:ind w:firstLine="540"/>
        <w:jc w:val="both"/>
      </w:pPr>
      <w:r>
        <w:rPr>
          <w:sz w:val="20"/>
        </w:rPr>
        <w:t xml:space="preserve">- дезоксиниваленола - по ГОСТ EN 15891;</w:t>
      </w:r>
    </w:p>
    <w:p>
      <w:pPr>
        <w:pStyle w:val="0"/>
        <w:spacing w:before="200" w:line-rule="auto"/>
        <w:ind w:firstLine="540"/>
        <w:jc w:val="both"/>
      </w:pPr>
      <w:r>
        <w:rPr>
          <w:sz w:val="20"/>
        </w:rPr>
        <w:t xml:space="preserve">- Т-2 токсина - по </w:t>
      </w:r>
      <w:hyperlink w:history="0" r:id="rId100"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w:t>
      </w:r>
    </w:p>
    <w:p>
      <w:pPr>
        <w:pStyle w:val="0"/>
        <w:spacing w:before="200" w:line-rule="auto"/>
        <w:ind w:firstLine="540"/>
        <w:jc w:val="both"/>
      </w:pPr>
      <w:r>
        <w:rPr>
          <w:sz w:val="20"/>
        </w:rPr>
        <w:t xml:space="preserve">- зеараленона - по </w:t>
      </w:r>
      <w:hyperlink w:history="0" r:id="rId101"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w:t>
        </w:r>
      </w:hyperlink>
      <w:r>
        <w:rPr>
          <w:sz w:val="20"/>
        </w:rPr>
        <w:t xml:space="preserve">;</w:t>
      </w:r>
    </w:p>
    <w:p>
      <w:pPr>
        <w:pStyle w:val="0"/>
        <w:spacing w:before="200" w:line-rule="auto"/>
        <w:ind w:firstLine="540"/>
        <w:jc w:val="both"/>
      </w:pPr>
      <w:r>
        <w:rPr>
          <w:sz w:val="20"/>
        </w:rPr>
        <w:t xml:space="preserve">- охратоксина А - по </w:t>
      </w:r>
      <w:hyperlink w:history="0" r:id="rId102"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w:t>
        </w:r>
      </w:hyperlink>
      <w:r>
        <w:rPr>
          <w:sz w:val="20"/>
        </w:rPr>
        <w:t xml:space="preserve">, </w:t>
      </w:r>
      <w:hyperlink w:history="0" r:id="rId103"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w:t>
      </w:r>
    </w:p>
    <w:p>
      <w:pPr>
        <w:pStyle w:val="0"/>
        <w:spacing w:before="200" w:line-rule="auto"/>
        <w:ind w:firstLine="540"/>
        <w:jc w:val="both"/>
      </w:pPr>
      <w:r>
        <w:rPr>
          <w:sz w:val="20"/>
        </w:rPr>
        <w:t xml:space="preserve">8.16 Определение бенз(a)пирена -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8.17 Отбор проб для определения радионуклидов - по </w:t>
      </w:r>
      <w:hyperlink w:history="0" r:id="rId104"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w:t>
        </w:r>
      </w:hyperlink>
      <w:r>
        <w:rPr>
          <w:sz w:val="20"/>
        </w:rPr>
        <w:t xml:space="preserve">.</w:t>
      </w:r>
    </w:p>
    <w:p>
      <w:pPr>
        <w:pStyle w:val="0"/>
        <w:spacing w:before="200" w:line-rule="auto"/>
        <w:ind w:firstLine="540"/>
        <w:jc w:val="both"/>
      </w:pPr>
      <w:r>
        <w:rPr>
          <w:sz w:val="20"/>
        </w:rPr>
        <w:t xml:space="preserve">8.18 Определение радионуклидов - по </w:t>
      </w:r>
      <w:hyperlink w:history="0" r:id="rId105"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w:t>
        </w:r>
      </w:hyperlink>
      <w:r>
        <w:rPr>
          <w:sz w:val="20"/>
        </w:rPr>
        <w:t xml:space="preserve">, </w:t>
      </w:r>
      <w:hyperlink w:history="0" r:id="rId106"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w:t>
        </w:r>
      </w:hyperlink>
      <w:r>
        <w:rPr>
          <w:sz w:val="20"/>
        </w:rPr>
        <w:t xml:space="preserve">.</w:t>
      </w:r>
    </w:p>
    <w:p>
      <w:pPr>
        <w:pStyle w:val="0"/>
        <w:spacing w:before="200" w:line-rule="auto"/>
        <w:ind w:firstLine="540"/>
        <w:jc w:val="both"/>
      </w:pPr>
      <w:r>
        <w:rPr>
          <w:sz w:val="20"/>
        </w:rPr>
        <w:t xml:space="preserve">8.19 Определение остаточных количеств 2,4-Д -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8.20 Определение ртутьорганических пестицидов -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8.21 Определение ГМО - по ГОСТ ИСО 21569, ГОСТ ИСО 21570, ГОСТ ИСО 21571 или по нормативным документам, действующим на территории государства, принявшего стандарт.</w:t>
      </w:r>
    </w:p>
    <w:p>
      <w:pPr>
        <w:pStyle w:val="0"/>
        <w:ind w:firstLine="540"/>
        <w:jc w:val="both"/>
      </w:pPr>
      <w:r>
        <w:rPr>
          <w:sz w:val="20"/>
        </w:rPr>
      </w:r>
    </w:p>
    <w:p>
      <w:pPr>
        <w:pStyle w:val="2"/>
        <w:outlineLvl w:val="1"/>
        <w:ind w:firstLine="540"/>
        <w:jc w:val="both"/>
      </w:pPr>
      <w:r>
        <w:rPr>
          <w:sz w:val="20"/>
          <w:b w:val="on"/>
        </w:rPr>
        <w:t xml:space="preserve">9 Транспортирование и хранение</w:t>
      </w:r>
    </w:p>
    <w:p>
      <w:pPr>
        <w:pStyle w:val="0"/>
        <w:ind w:firstLine="540"/>
        <w:jc w:val="both"/>
      </w:pPr>
      <w:r>
        <w:rPr>
          <w:sz w:val="20"/>
        </w:rPr>
      </w:r>
    </w:p>
    <w:p>
      <w:pPr>
        <w:pStyle w:val="0"/>
        <w:ind w:firstLine="540"/>
        <w:jc w:val="both"/>
      </w:pPr>
      <w:r>
        <w:rPr>
          <w:sz w:val="20"/>
        </w:rPr>
        <w:t xml:space="preserve">9.1 Горох размещают, транспортируют и хранят в чистых, сухих, без постороннего запаха, не зараженных вредителями транспортных средствах и зернохранилищах в соответствии с санитарными правилами и нормами, утвержденными с учетом требований нормативных документов, действующих на территории государства, принявшего стандарт, а также правилами перевозок, действующими на транспорте данного вида.</w:t>
      </w:r>
    </w:p>
    <w:p>
      <w:pPr>
        <w:pStyle w:val="0"/>
        <w:spacing w:before="200" w:line-rule="auto"/>
        <w:ind w:firstLine="540"/>
        <w:jc w:val="both"/>
      </w:pPr>
      <w:r>
        <w:rPr>
          <w:sz w:val="20"/>
        </w:rPr>
        <w:t xml:space="preserve">9.2 При размещении, транспортировании и хранении учитывают состояние гороха, указанное в </w:t>
      </w:r>
      <w:hyperlink w:history="0" w:anchor="P316" w:tooltip="Таблица 4">
        <w:r>
          <w:rPr>
            <w:sz w:val="20"/>
            <w:color w:val="0000ff"/>
          </w:rPr>
          <w:t xml:space="preserve">таблице 4</w:t>
        </w:r>
      </w:hyperlink>
      <w:r>
        <w:rPr>
          <w:sz w:val="20"/>
        </w:rPr>
        <w:t xml:space="preserve">.</w:t>
      </w:r>
    </w:p>
    <w:p>
      <w:pPr>
        <w:pStyle w:val="0"/>
        <w:ind w:firstLine="540"/>
        <w:jc w:val="both"/>
      </w:pPr>
      <w:r>
        <w:rPr>
          <w:sz w:val="20"/>
        </w:rPr>
      </w:r>
    </w:p>
    <w:bookmarkStart w:id="316" w:name="P316"/>
    <w:bookmarkEnd w:id="316"/>
    <w:p>
      <w:pPr>
        <w:pStyle w:val="0"/>
        <w:jc w:val="right"/>
      </w:pPr>
      <w:r>
        <w:rPr>
          <w:sz w:val="20"/>
        </w:rPr>
        <w:t xml:space="preserve">Таблица 4</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422"/>
        <w:gridCol w:w="4649"/>
      </w:tblGrid>
      <w:tr>
        <w:tblPrEx>
          <w:tblBorders>
            <w:insideH w:val="single" w:sz="4"/>
          </w:tblBorders>
        </w:tblPrEx>
        <w:tc>
          <w:tcPr>
            <w:tcW w:w="4422" w:type="dxa"/>
            <w:vAlign w:val="center"/>
            <w:tcBorders>
              <w:top w:val="single" w:sz="4"/>
              <w:bottom w:val="single" w:sz="4"/>
            </w:tcBorders>
          </w:tcPr>
          <w:p>
            <w:pPr>
              <w:pStyle w:val="0"/>
              <w:jc w:val="center"/>
            </w:pPr>
            <w:r>
              <w:rPr>
                <w:sz w:val="20"/>
              </w:rPr>
              <w:t xml:space="preserve">Состояние гороха</w:t>
            </w:r>
          </w:p>
        </w:tc>
        <w:tc>
          <w:tcPr>
            <w:tcW w:w="4649" w:type="dxa"/>
            <w:vAlign w:val="center"/>
            <w:tcBorders>
              <w:top w:val="single" w:sz="4"/>
              <w:bottom w:val="single" w:sz="4"/>
            </w:tcBorders>
          </w:tcPr>
          <w:p>
            <w:pPr>
              <w:pStyle w:val="0"/>
              <w:jc w:val="center"/>
            </w:pPr>
            <w:r>
              <w:rPr>
                <w:sz w:val="20"/>
              </w:rPr>
              <w:t xml:space="preserve">Норма, %</w:t>
            </w:r>
          </w:p>
        </w:tc>
      </w:tr>
      <w:tr>
        <w:tblPrEx>
          <w:tblBorders>
            <w:insideH w:val="single" w:sz="4"/>
          </w:tblBorders>
        </w:tblPrEx>
        <w:tc>
          <w:tcPr>
            <w:gridSpan w:val="2"/>
            <w:tcW w:w="9071" w:type="dxa"/>
            <w:tcBorders>
              <w:top w:val="single" w:sz="4"/>
              <w:bottom w:val="single" w:sz="4"/>
            </w:tcBorders>
          </w:tcPr>
          <w:p>
            <w:pPr>
              <w:pStyle w:val="0"/>
              <w:jc w:val="center"/>
            </w:pPr>
            <w:r>
              <w:rPr>
                <w:sz w:val="20"/>
              </w:rPr>
              <w:t xml:space="preserve">По влажности</w:t>
            </w:r>
          </w:p>
        </w:tc>
      </w:tr>
      <w:tr>
        <w:tc>
          <w:tcPr>
            <w:tcW w:w="4422" w:type="dxa"/>
            <w:tcBorders>
              <w:top w:val="single" w:sz="4"/>
              <w:bottom w:val="nil"/>
            </w:tcBorders>
          </w:tcPr>
          <w:p>
            <w:pPr>
              <w:pStyle w:val="0"/>
            </w:pPr>
            <w:r>
              <w:rPr>
                <w:sz w:val="20"/>
              </w:rPr>
              <w:t xml:space="preserve">Сухое</w:t>
            </w:r>
          </w:p>
        </w:tc>
        <w:tc>
          <w:tcPr>
            <w:tcW w:w="4649" w:type="dxa"/>
            <w:tcBorders>
              <w:top w:val="single" w:sz="4"/>
              <w:bottom w:val="nil"/>
            </w:tcBorders>
          </w:tcPr>
          <w:p>
            <w:pPr>
              <w:pStyle w:val="0"/>
              <w:jc w:val="center"/>
            </w:pPr>
            <w:r>
              <w:rPr>
                <w:sz w:val="20"/>
              </w:rPr>
              <w:t xml:space="preserve">Не более 14,0</w:t>
            </w:r>
          </w:p>
        </w:tc>
      </w:tr>
      <w:tr>
        <w:tc>
          <w:tcPr>
            <w:tcW w:w="4422" w:type="dxa"/>
            <w:tcBorders>
              <w:top w:val="nil"/>
              <w:bottom w:val="nil"/>
            </w:tcBorders>
          </w:tcPr>
          <w:p>
            <w:pPr>
              <w:pStyle w:val="0"/>
            </w:pPr>
            <w:r>
              <w:rPr>
                <w:sz w:val="20"/>
              </w:rPr>
              <w:t xml:space="preserve">Средней сухости</w:t>
            </w:r>
          </w:p>
        </w:tc>
        <w:tc>
          <w:tcPr>
            <w:tcW w:w="4649" w:type="dxa"/>
            <w:tcBorders>
              <w:top w:val="nil"/>
              <w:bottom w:val="nil"/>
            </w:tcBorders>
          </w:tcPr>
          <w:p>
            <w:pPr>
              <w:pStyle w:val="0"/>
              <w:jc w:val="center"/>
            </w:pPr>
            <w:r>
              <w:rPr>
                <w:sz w:val="20"/>
              </w:rPr>
              <w:t xml:space="preserve">14,1 - 16,0</w:t>
            </w:r>
          </w:p>
        </w:tc>
      </w:tr>
      <w:tr>
        <w:tc>
          <w:tcPr>
            <w:tcW w:w="4422" w:type="dxa"/>
            <w:tcBorders>
              <w:top w:val="nil"/>
              <w:bottom w:val="nil"/>
            </w:tcBorders>
          </w:tcPr>
          <w:p>
            <w:pPr>
              <w:pStyle w:val="0"/>
            </w:pPr>
            <w:r>
              <w:rPr>
                <w:sz w:val="20"/>
              </w:rPr>
              <w:t xml:space="preserve">Влажное</w:t>
            </w:r>
          </w:p>
        </w:tc>
        <w:tc>
          <w:tcPr>
            <w:tcW w:w="4649" w:type="dxa"/>
            <w:tcBorders>
              <w:top w:val="nil"/>
              <w:bottom w:val="nil"/>
            </w:tcBorders>
          </w:tcPr>
          <w:p>
            <w:pPr>
              <w:pStyle w:val="0"/>
              <w:jc w:val="center"/>
            </w:pPr>
            <w:r>
              <w:rPr>
                <w:sz w:val="20"/>
              </w:rPr>
              <w:t xml:space="preserve">16,1 - 20,0</w:t>
            </w:r>
          </w:p>
        </w:tc>
      </w:tr>
      <w:tr>
        <w:tc>
          <w:tcPr>
            <w:tcW w:w="4422" w:type="dxa"/>
            <w:tcBorders>
              <w:top w:val="nil"/>
              <w:bottom w:val="single" w:sz="4"/>
            </w:tcBorders>
          </w:tcPr>
          <w:p>
            <w:pPr>
              <w:pStyle w:val="0"/>
            </w:pPr>
            <w:r>
              <w:rPr>
                <w:sz w:val="20"/>
              </w:rPr>
              <w:t xml:space="preserve">Сырое</w:t>
            </w:r>
          </w:p>
        </w:tc>
        <w:tc>
          <w:tcPr>
            <w:tcW w:w="4649" w:type="dxa"/>
            <w:tcBorders>
              <w:top w:val="nil"/>
              <w:bottom w:val="single" w:sz="4"/>
            </w:tcBorders>
          </w:tcPr>
          <w:p>
            <w:pPr>
              <w:pStyle w:val="0"/>
              <w:jc w:val="center"/>
            </w:pPr>
            <w:r>
              <w:rPr>
                <w:sz w:val="20"/>
              </w:rPr>
              <w:t xml:space="preserve">20,1 и более</w:t>
            </w:r>
          </w:p>
        </w:tc>
      </w:tr>
      <w:tr>
        <w:tblPrEx>
          <w:tblBorders>
            <w:insideH w:val="single" w:sz="4"/>
          </w:tblBorders>
        </w:tblPrEx>
        <w:tc>
          <w:tcPr>
            <w:gridSpan w:val="2"/>
            <w:tcW w:w="9071" w:type="dxa"/>
            <w:tcBorders>
              <w:top w:val="single" w:sz="4"/>
              <w:bottom w:val="single" w:sz="4"/>
            </w:tcBorders>
          </w:tcPr>
          <w:p>
            <w:pPr>
              <w:pStyle w:val="0"/>
              <w:jc w:val="center"/>
            </w:pPr>
            <w:r>
              <w:rPr>
                <w:sz w:val="20"/>
              </w:rPr>
              <w:t xml:space="preserve">По сорной примеси</w:t>
            </w:r>
          </w:p>
        </w:tc>
      </w:tr>
      <w:tr>
        <w:tc>
          <w:tcPr>
            <w:tcW w:w="4422" w:type="dxa"/>
            <w:tcBorders>
              <w:top w:val="single" w:sz="4"/>
              <w:bottom w:val="nil"/>
            </w:tcBorders>
          </w:tcPr>
          <w:p>
            <w:pPr>
              <w:pStyle w:val="0"/>
            </w:pPr>
            <w:r>
              <w:rPr>
                <w:sz w:val="20"/>
              </w:rPr>
              <w:t xml:space="preserve">Чистое</w:t>
            </w:r>
          </w:p>
        </w:tc>
        <w:tc>
          <w:tcPr>
            <w:tcW w:w="4649" w:type="dxa"/>
            <w:tcBorders>
              <w:top w:val="single" w:sz="4"/>
              <w:bottom w:val="nil"/>
            </w:tcBorders>
          </w:tcPr>
          <w:p>
            <w:pPr>
              <w:pStyle w:val="0"/>
              <w:jc w:val="center"/>
            </w:pPr>
            <w:r>
              <w:rPr>
                <w:sz w:val="20"/>
              </w:rPr>
              <w:t xml:space="preserve">Не более 0,5</w:t>
            </w:r>
          </w:p>
        </w:tc>
      </w:tr>
      <w:tr>
        <w:tc>
          <w:tcPr>
            <w:tcW w:w="4422" w:type="dxa"/>
            <w:tcBorders>
              <w:top w:val="nil"/>
              <w:bottom w:val="nil"/>
            </w:tcBorders>
          </w:tcPr>
          <w:p>
            <w:pPr>
              <w:pStyle w:val="0"/>
            </w:pPr>
            <w:r>
              <w:rPr>
                <w:sz w:val="20"/>
              </w:rPr>
              <w:t xml:space="preserve">Средней чистоты</w:t>
            </w:r>
          </w:p>
        </w:tc>
        <w:tc>
          <w:tcPr>
            <w:tcW w:w="4649" w:type="dxa"/>
            <w:tcBorders>
              <w:top w:val="nil"/>
              <w:bottom w:val="nil"/>
            </w:tcBorders>
          </w:tcPr>
          <w:p>
            <w:pPr>
              <w:pStyle w:val="0"/>
              <w:jc w:val="center"/>
            </w:pPr>
            <w:r>
              <w:rPr>
                <w:sz w:val="20"/>
              </w:rPr>
              <w:t xml:space="preserve">0,6 - 1,0</w:t>
            </w:r>
          </w:p>
        </w:tc>
      </w:tr>
      <w:tr>
        <w:tc>
          <w:tcPr>
            <w:tcW w:w="4422" w:type="dxa"/>
            <w:tcBorders>
              <w:top w:val="nil"/>
              <w:bottom w:val="single" w:sz="4"/>
            </w:tcBorders>
          </w:tcPr>
          <w:p>
            <w:pPr>
              <w:pStyle w:val="0"/>
            </w:pPr>
            <w:r>
              <w:rPr>
                <w:sz w:val="20"/>
              </w:rPr>
              <w:t xml:space="preserve">Сорное</w:t>
            </w:r>
          </w:p>
        </w:tc>
        <w:tc>
          <w:tcPr>
            <w:tcW w:w="4649" w:type="dxa"/>
            <w:tcBorders>
              <w:top w:val="nil"/>
              <w:bottom w:val="single" w:sz="4"/>
            </w:tcBorders>
          </w:tcPr>
          <w:p>
            <w:pPr>
              <w:pStyle w:val="0"/>
              <w:jc w:val="center"/>
            </w:pPr>
            <w:r>
              <w:rPr>
                <w:sz w:val="20"/>
              </w:rPr>
              <w:t xml:space="preserve">1,1 и более</w:t>
            </w:r>
          </w:p>
        </w:tc>
      </w:tr>
      <w:tr>
        <w:tblPrEx>
          <w:tblBorders>
            <w:insideH w:val="single" w:sz="4"/>
          </w:tblBorders>
        </w:tblPrEx>
        <w:tc>
          <w:tcPr>
            <w:gridSpan w:val="2"/>
            <w:tcW w:w="9071" w:type="dxa"/>
            <w:tcBorders>
              <w:top w:val="single" w:sz="4"/>
              <w:bottom w:val="single" w:sz="4"/>
            </w:tcBorders>
          </w:tcPr>
          <w:p>
            <w:pPr>
              <w:pStyle w:val="0"/>
              <w:jc w:val="center"/>
            </w:pPr>
            <w:r>
              <w:rPr>
                <w:sz w:val="20"/>
              </w:rPr>
              <w:t xml:space="preserve">По зерновой примеси</w:t>
            </w:r>
          </w:p>
        </w:tc>
      </w:tr>
      <w:tr>
        <w:tc>
          <w:tcPr>
            <w:tcW w:w="4422" w:type="dxa"/>
            <w:tcBorders>
              <w:top w:val="single" w:sz="4"/>
              <w:bottom w:val="nil"/>
            </w:tcBorders>
          </w:tcPr>
          <w:p>
            <w:pPr>
              <w:pStyle w:val="0"/>
            </w:pPr>
            <w:r>
              <w:rPr>
                <w:sz w:val="20"/>
              </w:rPr>
              <w:t xml:space="preserve">Чистое</w:t>
            </w:r>
          </w:p>
        </w:tc>
        <w:tc>
          <w:tcPr>
            <w:tcW w:w="4649" w:type="dxa"/>
            <w:tcBorders>
              <w:top w:val="single" w:sz="4"/>
              <w:bottom w:val="nil"/>
            </w:tcBorders>
          </w:tcPr>
          <w:p>
            <w:pPr>
              <w:pStyle w:val="0"/>
              <w:jc w:val="center"/>
            </w:pPr>
            <w:r>
              <w:rPr>
                <w:sz w:val="20"/>
              </w:rPr>
              <w:t xml:space="preserve">Не более 2,0</w:t>
            </w:r>
          </w:p>
        </w:tc>
      </w:tr>
      <w:tr>
        <w:tc>
          <w:tcPr>
            <w:tcW w:w="4422" w:type="dxa"/>
            <w:tcBorders>
              <w:top w:val="nil"/>
              <w:bottom w:val="nil"/>
            </w:tcBorders>
          </w:tcPr>
          <w:p>
            <w:pPr>
              <w:pStyle w:val="0"/>
            </w:pPr>
            <w:r>
              <w:rPr>
                <w:sz w:val="20"/>
              </w:rPr>
              <w:t xml:space="preserve">Средней чистоты</w:t>
            </w:r>
          </w:p>
        </w:tc>
        <w:tc>
          <w:tcPr>
            <w:tcW w:w="4649" w:type="dxa"/>
            <w:tcBorders>
              <w:top w:val="nil"/>
              <w:bottom w:val="nil"/>
            </w:tcBorders>
          </w:tcPr>
          <w:p>
            <w:pPr>
              <w:pStyle w:val="0"/>
              <w:jc w:val="center"/>
            </w:pPr>
            <w:r>
              <w:rPr>
                <w:sz w:val="20"/>
              </w:rPr>
              <w:t xml:space="preserve">2,1 - 3,0</w:t>
            </w:r>
          </w:p>
        </w:tc>
      </w:tr>
      <w:tr>
        <w:tc>
          <w:tcPr>
            <w:tcW w:w="4422" w:type="dxa"/>
            <w:tcBorders>
              <w:top w:val="nil"/>
              <w:bottom w:val="single" w:sz="4"/>
            </w:tcBorders>
          </w:tcPr>
          <w:p>
            <w:pPr>
              <w:pStyle w:val="0"/>
            </w:pPr>
            <w:r>
              <w:rPr>
                <w:sz w:val="20"/>
              </w:rPr>
              <w:t xml:space="preserve">Сорное</w:t>
            </w:r>
          </w:p>
        </w:tc>
        <w:tc>
          <w:tcPr>
            <w:tcW w:w="4649" w:type="dxa"/>
            <w:tcBorders>
              <w:top w:val="nil"/>
              <w:bottom w:val="single" w:sz="4"/>
            </w:tcBorders>
          </w:tcPr>
          <w:p>
            <w:pPr>
              <w:pStyle w:val="0"/>
              <w:jc w:val="center"/>
            </w:pPr>
            <w:r>
              <w:rPr>
                <w:sz w:val="20"/>
              </w:rPr>
              <w:t xml:space="preserve">3,1 и более</w:t>
            </w:r>
          </w:p>
        </w:tc>
      </w:tr>
    </w:tbl>
    <w:p>
      <w:pPr>
        <w:pStyle w:val="0"/>
        <w:ind w:firstLine="540"/>
        <w:jc w:val="both"/>
      </w:pPr>
      <w:r>
        <w:rPr>
          <w:sz w:val="20"/>
        </w:rPr>
      </w:r>
    </w:p>
    <w:p>
      <w:pPr>
        <w:pStyle w:val="0"/>
        <w:ind w:firstLine="540"/>
        <w:jc w:val="both"/>
      </w:pPr>
      <w:r>
        <w:rPr>
          <w:sz w:val="20"/>
        </w:rPr>
        <w:t xml:space="preserve">9.3 В процессе хранения проводится систематический контроль за качеством и состоянием гороха. Контролируют: температуру, влажность, зараженность, цвет, запах и другие показатели согласно </w:t>
      </w:r>
      <w:hyperlink w:history="0" w:anchor="P359" w:tooltip="[3]">
        <w:r>
          <w:rPr>
            <w:sz w:val="20"/>
            <w:color w:val="0000ff"/>
          </w:rPr>
          <w:t xml:space="preserve">[3]</w:t>
        </w:r>
      </w:hyperlink>
      <w:r>
        <w:rPr>
          <w:sz w:val="20"/>
        </w:rPr>
        <w:t xml:space="preserve"> и другим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9.4 Срок годности и условия хранения гороха устанавливает изготовитель в соответствии с требованиями нормативных документов, действующих на территории государства, принявшего стандарт.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2"/>
        <w:outlineLvl w:val="0"/>
        <w:jc w:val="center"/>
      </w:pPr>
      <w:r>
        <w:rPr>
          <w:sz w:val="20"/>
          <w:b w:val="on"/>
        </w:rPr>
        <w:t xml:space="preserve">Библиография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54"/>
        <w:gridCol w:w="3855"/>
        <w:gridCol w:w="4762"/>
      </w:tblGrid>
      <w:tr>
        <w:tc>
          <w:tcPr>
            <w:tcW w:w="454" w:type="dxa"/>
            <w:tcBorders>
              <w:top w:val="nil"/>
              <w:left w:val="nil"/>
              <w:bottom w:val="nil"/>
              <w:right w:val="nil"/>
            </w:tcBorders>
          </w:tcPr>
          <w:bookmarkStart w:id="353" w:name="P353"/>
          <w:bookmarkEnd w:id="353"/>
          <w:p>
            <w:pPr>
              <w:pStyle w:val="0"/>
            </w:pPr>
            <w:r>
              <w:rPr>
                <w:sz w:val="20"/>
              </w:rPr>
              <w:t xml:space="preserve">[1]</w:t>
            </w:r>
          </w:p>
        </w:tc>
        <w:tc>
          <w:tcPr>
            <w:tcW w:w="3855" w:type="dxa"/>
            <w:tcBorders>
              <w:top w:val="nil"/>
              <w:left w:val="nil"/>
              <w:bottom w:val="nil"/>
              <w:right w:val="nil"/>
            </w:tcBorders>
          </w:tcPr>
          <w:p>
            <w:pPr>
              <w:pStyle w:val="0"/>
            </w:pPr>
            <w:r>
              <w:rPr>
                <w:sz w:val="20"/>
              </w:rPr>
              <w:t xml:space="preserve">Технический регламент Таможенного союза </w:t>
            </w:r>
            <w:hyperlink w:history="0" r:id="rId107"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ТР ТС 015/2011</w:t>
              </w:r>
            </w:hyperlink>
          </w:p>
        </w:tc>
        <w:tc>
          <w:tcPr>
            <w:tcW w:w="4762" w:type="dxa"/>
            <w:tcBorders>
              <w:top w:val="nil"/>
              <w:left w:val="nil"/>
              <w:bottom w:val="nil"/>
              <w:right w:val="nil"/>
            </w:tcBorders>
          </w:tcPr>
          <w:p>
            <w:pPr>
              <w:pStyle w:val="0"/>
              <w:jc w:val="both"/>
            </w:pPr>
            <w:r>
              <w:rPr>
                <w:sz w:val="20"/>
              </w:rPr>
              <w:t xml:space="preserve">О безопасности зерна</w:t>
            </w:r>
          </w:p>
        </w:tc>
      </w:tr>
      <w:tr>
        <w:tc>
          <w:tcPr>
            <w:tcW w:w="454" w:type="dxa"/>
            <w:tcBorders>
              <w:top w:val="nil"/>
              <w:left w:val="nil"/>
              <w:bottom w:val="nil"/>
              <w:right w:val="nil"/>
            </w:tcBorders>
          </w:tcPr>
          <w:bookmarkStart w:id="356" w:name="P356"/>
          <w:bookmarkEnd w:id="356"/>
          <w:p>
            <w:pPr>
              <w:pStyle w:val="0"/>
            </w:pPr>
            <w:r>
              <w:rPr>
                <w:sz w:val="20"/>
              </w:rPr>
              <w:t xml:space="preserve">[2]</w:t>
            </w:r>
          </w:p>
        </w:tc>
        <w:tc>
          <w:tcPr>
            <w:tcW w:w="3855" w:type="dxa"/>
            <w:tcBorders>
              <w:top w:val="nil"/>
              <w:left w:val="nil"/>
              <w:bottom w:val="nil"/>
              <w:right w:val="nil"/>
            </w:tcBorders>
          </w:tcPr>
          <w:p>
            <w:pPr>
              <w:pStyle w:val="0"/>
            </w:pPr>
            <w:r>
              <w:rPr>
                <w:sz w:val="20"/>
              </w:rPr>
              <w:t xml:space="preserve">Технический регламент Таможенного союза </w:t>
            </w:r>
            <w:hyperlink w:history="0" r:id="rId108"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ТР ТС 021/2011</w:t>
              </w:r>
            </w:hyperlink>
          </w:p>
        </w:tc>
        <w:tc>
          <w:tcPr>
            <w:tcW w:w="4762" w:type="dxa"/>
            <w:tcBorders>
              <w:top w:val="nil"/>
              <w:left w:val="nil"/>
              <w:bottom w:val="nil"/>
              <w:right w:val="nil"/>
            </w:tcBorders>
          </w:tcPr>
          <w:p>
            <w:pPr>
              <w:pStyle w:val="0"/>
              <w:jc w:val="both"/>
            </w:pPr>
            <w:r>
              <w:rPr>
                <w:sz w:val="20"/>
              </w:rPr>
              <w:t xml:space="preserve">О безопасности пищевой продукции</w:t>
            </w:r>
          </w:p>
        </w:tc>
      </w:tr>
      <w:tr>
        <w:tc>
          <w:tcPr>
            <w:tcW w:w="454" w:type="dxa"/>
            <w:tcBorders>
              <w:top w:val="nil"/>
              <w:left w:val="nil"/>
              <w:bottom w:val="nil"/>
              <w:right w:val="nil"/>
            </w:tcBorders>
          </w:tcPr>
          <w:bookmarkStart w:id="359" w:name="P359"/>
          <w:bookmarkEnd w:id="359"/>
          <w:p>
            <w:pPr>
              <w:pStyle w:val="0"/>
            </w:pPr>
            <w:r>
              <w:rPr>
                <w:sz w:val="20"/>
              </w:rPr>
              <w:t xml:space="preserve">[3]</w:t>
            </w:r>
          </w:p>
        </w:tc>
        <w:tc>
          <w:tcPr>
            <w:gridSpan w:val="2"/>
            <w:tcW w:w="8617" w:type="dxa"/>
            <w:tcBorders>
              <w:top w:val="nil"/>
              <w:left w:val="nil"/>
              <w:bottom w:val="nil"/>
              <w:right w:val="nil"/>
            </w:tcBorders>
          </w:tcPr>
          <w:p>
            <w:pPr>
              <w:pStyle w:val="0"/>
              <w:jc w:val="both"/>
            </w:pPr>
            <w:hyperlink w:history="0" r:id="rId109" w:tooltip="Приказ Минхлебопродуктов СССР от 24.06.1988 N 185 &quot;Об утверждении Инструкции по хранению зерна, маслосемян, муки и крупы&quot; (вместе с &quot;Инструкцией N 9-7-88 по хранению зерна, маслосемян, муки и крупы&quot;) ------------ Утратил силу или отменен {КонсультантПлюс}">
              <w:r>
                <w:rPr>
                  <w:sz w:val="20"/>
                  <w:color w:val="0000ff"/>
                </w:rPr>
                <w:t xml:space="preserve">Инструкция</w:t>
              </w:r>
            </w:hyperlink>
            <w:r>
              <w:rPr>
                <w:sz w:val="20"/>
              </w:rPr>
              <w:t xml:space="preserve"> N 9-7-88 по хранению зерна, маслосемян, муки и крупы, утвержденная Приказом Министерства хлебопродуктов СССР от 24 июня 1988 г., N 185</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535"/>
        <w:gridCol w:w="4536"/>
      </w:tblGrid>
      <w:tr>
        <w:tc>
          <w:tcPr>
            <w:tcW w:w="4535" w:type="dxa"/>
            <w:tcBorders>
              <w:top w:val="single" w:sz="4"/>
              <w:left w:val="nil"/>
              <w:bottom w:val="nil"/>
              <w:right w:val="nil"/>
            </w:tcBorders>
          </w:tcPr>
          <w:p>
            <w:pPr>
              <w:pStyle w:val="0"/>
            </w:pPr>
            <w:r>
              <w:rPr>
                <w:sz w:val="20"/>
              </w:rPr>
              <w:t xml:space="preserve">УДК 635.656:006.354</w:t>
            </w:r>
          </w:p>
        </w:tc>
        <w:tc>
          <w:tcPr>
            <w:tcW w:w="4536" w:type="dxa"/>
            <w:tcBorders>
              <w:top w:val="single" w:sz="4"/>
              <w:left w:val="nil"/>
              <w:bottom w:val="nil"/>
              <w:right w:val="nil"/>
            </w:tcBorders>
          </w:tcPr>
          <w:p>
            <w:pPr>
              <w:pStyle w:val="0"/>
              <w:jc w:val="right"/>
            </w:pPr>
            <w:r>
              <w:rPr>
                <w:sz w:val="20"/>
              </w:rPr>
              <w:t xml:space="preserve">МКС </w:t>
            </w:r>
            <w:hyperlink w:history="0" r:id="rId110" w:tooltip="&quot;МК (ИСО/ИНФКО МКС) 001-96. Межгосударственный классификатор стандартов&quot; (принят Межгосударственным Советом по стандартизации, метрологии и сертификации, протокол от 11 - 12.04.1996 N 9-96) (ред. от 07.06.2013) {КонсультантПлюс}">
              <w:r>
                <w:rPr>
                  <w:sz w:val="20"/>
                  <w:color w:val="0000ff"/>
                </w:rPr>
                <w:t xml:space="preserve">67.060</w:t>
              </w:r>
            </w:hyperlink>
          </w:p>
        </w:tc>
      </w:tr>
      <w:tr>
        <w:tc>
          <w:tcPr>
            <w:gridSpan w:val="2"/>
            <w:tcW w:w="9071" w:type="dxa"/>
            <w:tcBorders>
              <w:top w:val="nil"/>
              <w:left w:val="nil"/>
              <w:bottom w:val="single" w:sz="4"/>
              <w:right w:val="nil"/>
            </w:tcBorders>
          </w:tcPr>
          <w:p>
            <w:pPr>
              <w:pStyle w:val="0"/>
              <w:jc w:val="both"/>
            </w:pPr>
            <w:r>
              <w:rPr>
                <w:sz w:val="20"/>
              </w:rPr>
              <w:t xml:space="preserve">Ключевые слова: горох, типы, подтипы</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"ГОСТ 28674-2019. Межгосударственный стандарт. Горох. Технические условия"</w:t>
            <w:br/>
            <w:t>(введен в действие Приказом Росстандарта от 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31E7B4336D08EC5DBCD656456FB8C4ED449A79DAF2A9DB6719D4BEF822985328D1B5EBA96D1289B7284197023LDG5N" TargetMode = "External"/>
	<Relationship Id="rId8" Type="http://schemas.openxmlformats.org/officeDocument/2006/relationships/hyperlink" Target="consultantplus://offline/ref=331E7B4336D08EC5DBCD656456FB8C4ED44EA198A4209DB6719D4BEF822985329F1B06B694DA37937B914F21658275A3853C3B829F6A8528LFGDN" TargetMode = "External"/>
	<Relationship Id="rId9" Type="http://schemas.openxmlformats.org/officeDocument/2006/relationships/hyperlink" Target="consultantplus://offline/ref=331E7B4336D08EC5DBCD66714FFB8C4ED64BA09AA722C0BC79C447ED8526DA37980A06B59DC6379B6D981B72L2G3N" TargetMode = "External"/>
	<Relationship Id="rId10" Type="http://schemas.openxmlformats.org/officeDocument/2006/relationships/hyperlink" Target="consultantplus://offline/ref=331E7B4336D08EC5DBCD66714FFB8C4ED548A99FA722C0BC79C447ED8526DA37980A06B59DC6379B6D981B72L2G3N" TargetMode = "External"/>
	<Relationship Id="rId11" Type="http://schemas.openxmlformats.org/officeDocument/2006/relationships/hyperlink" Target="consultantplus://offline/ref=331E7B4336D08EC5DBCD656456FB8C4ED449A79DAF2A9DB6719D4BEF822985329F1B06B694D8369A75914F21658275A3853C3B829F6A8528LFGDN" TargetMode = "External"/>
	<Relationship Id="rId12" Type="http://schemas.openxmlformats.org/officeDocument/2006/relationships/hyperlink" Target="consultantplus://offline/ref=331E7B4336D08EC5DBCD66714FFB8C4ED648A398AD7FCAB420C845EA8A79DF22895209BE8AD93784719A19L7G2N" TargetMode = "External"/>
	<Relationship Id="rId13" Type="http://schemas.openxmlformats.org/officeDocument/2006/relationships/hyperlink" Target="consultantplus://offline/ref=331E7B4336D08EC5DBCD7A7153FB8C4ED349A79AAD7FCAB420C845EA8A79DF22895209BE8AD93784719A19L7G2N" TargetMode = "External"/>
	<Relationship Id="rId14" Type="http://schemas.openxmlformats.org/officeDocument/2006/relationships/hyperlink" Target="consultantplus://offline/ref=331E7B4336D08EC5DBCD7A7153FB8C4ED24CA79CAD7FCAB420C845EA8A79DF22895209BE8AD93784719A19L7G2N" TargetMode = "External"/>
	<Relationship Id="rId15" Type="http://schemas.openxmlformats.org/officeDocument/2006/relationships/hyperlink" Target="consultantplus://offline/ref=331E7B4336D08EC5DBCD7A7153FB8C4ED44DA490F075C2ED2CCA42E5D57CCA33D15D02A995D928987398L1G9N" TargetMode = "External"/>
	<Relationship Id="rId16" Type="http://schemas.openxmlformats.org/officeDocument/2006/relationships/hyperlink" Target="consultantplus://offline/ref=331E7B4336D08EC5DBCD7A7153FB8C4ED34BA29BAD7FCAB420C845EA8A79DF22895209BE8AD93784719A19L7G2N" TargetMode = "External"/>
	<Relationship Id="rId17" Type="http://schemas.openxmlformats.org/officeDocument/2006/relationships/hyperlink" Target="consultantplus://offline/ref=331E7B4336D08EC5DBCD7A7153FB8C4ED34BA59AAD7FCAB420C845EA8A79DF22895209BE8AD93784719A19L7G2N" TargetMode = "External"/>
	<Relationship Id="rId18" Type="http://schemas.openxmlformats.org/officeDocument/2006/relationships/hyperlink" Target="consultantplus://offline/ref=331E7B4336D08EC5DBCD66714FFB8C4ED54CA299AD7FCAB420C845EA8A79DF22895209BE8AD93784719A19L7G2N" TargetMode = "External"/>
	<Relationship Id="rId19" Type="http://schemas.openxmlformats.org/officeDocument/2006/relationships/hyperlink" Target="consultantplus://offline/ref=331E7B4336D08EC5DBCD66714FFB8C4ED54FA49AA022C0BC79C447ED8526DA37980A06B59DC6379B6D981B72L2G3N" TargetMode = "External"/>
	<Relationship Id="rId20" Type="http://schemas.openxmlformats.org/officeDocument/2006/relationships/hyperlink" Target="consultantplus://offline/ref=331E7B4336D08EC5DBCD66714FFB8C4ED54FA89DA022C0BC79C447ED8526DA37980A06B59DC6379B6D981B72L2G3N" TargetMode = "External"/>
	<Relationship Id="rId21" Type="http://schemas.openxmlformats.org/officeDocument/2006/relationships/hyperlink" Target="consultantplus://offline/ref=331E7B4336D08EC5DBCD66714FFB8C4ED64AA99BA222C0BC79C447ED8526DA37980A06B59DC6379B6D981B72L2G3N" TargetMode = "External"/>
	<Relationship Id="rId22" Type="http://schemas.openxmlformats.org/officeDocument/2006/relationships/hyperlink" Target="consultantplus://offline/ref=331E7B4336D08EC5DBCD66714FFB8C4ED548A19DA322C0BC79C447ED8526DA37980A06B59DC6379B6D981B72L2G3N" TargetMode = "External"/>
	<Relationship Id="rId23" Type="http://schemas.openxmlformats.org/officeDocument/2006/relationships/hyperlink" Target="consultantplus://offline/ref=331E7B4336D08EC5DBCD66714FFB8C4ED449A29FA222C0BC79C447ED8526DA37980A06B59DC6379B6D981B72L2G3N" TargetMode = "External"/>
	<Relationship Id="rId24" Type="http://schemas.openxmlformats.org/officeDocument/2006/relationships/hyperlink" Target="consultantplus://offline/ref=331E7B4336D08EC5DBCD66714FFB8C4EDE48A390F075C2ED2CCA42E5D57CCA33D15D02A995D928987398L1G9N" TargetMode = "External"/>
	<Relationship Id="rId25" Type="http://schemas.openxmlformats.org/officeDocument/2006/relationships/hyperlink" Target="consultantplus://offline/ref=331E7B4336D08EC5DBCD66714FFB8C4ED54BA39AA222C0BC79C447ED8526DA37980A06B59DC6379B6D981B72L2G3N" TargetMode = "External"/>
	<Relationship Id="rId26" Type="http://schemas.openxmlformats.org/officeDocument/2006/relationships/hyperlink" Target="consultantplus://offline/ref=331E7B4336D08EC5DBCD66714FFB8C4ED642A89DA522C0BC79C447ED8526DA37980A06B59DC6379B6D981B72L2G3N" TargetMode = "External"/>
	<Relationship Id="rId27" Type="http://schemas.openxmlformats.org/officeDocument/2006/relationships/hyperlink" Target="consultantplus://offline/ref=331E7B4336D08EC5DBCD66714FFB8C4ED449A299AD7FCAB420C845EA8A79DF22895209BE8AD93784719A19L7G2N" TargetMode = "External"/>
	<Relationship Id="rId28" Type="http://schemas.openxmlformats.org/officeDocument/2006/relationships/hyperlink" Target="consultantplus://offline/ref=331E7B4336D08EC5DBCD66714FFB8C4ED64DA09DA122C0BC79C447ED8526DA37980A06B59DC6379B6D981B72L2G3N" TargetMode = "External"/>
	<Relationship Id="rId29" Type="http://schemas.openxmlformats.org/officeDocument/2006/relationships/hyperlink" Target="consultantplus://offline/ref=331E7B4336D08EC5DBCD66714FFB8C4ED64CA89DA722C0BC79C447ED8526DA37980A06B59DC6379B6D981B72L2G3N" TargetMode = "External"/>
	<Relationship Id="rId30" Type="http://schemas.openxmlformats.org/officeDocument/2006/relationships/hyperlink" Target="consultantplus://offline/ref=331E7B4336D08EC5DBCD66714FFB8C4ED24FA790F075C2ED2CCA42E5D57CCA33D15D02A995D928987398L1G9N" TargetMode = "External"/>
	<Relationship Id="rId31" Type="http://schemas.openxmlformats.org/officeDocument/2006/relationships/hyperlink" Target="consultantplus://offline/ref=331E7B4336D08EC5DBCD66714FFB8C4ED649A593A322C0BC79C447ED8526DA37980A06B59DC6379B6D981B72L2G3N" TargetMode = "External"/>
	<Relationship Id="rId32" Type="http://schemas.openxmlformats.org/officeDocument/2006/relationships/hyperlink" Target="consultantplus://offline/ref=331E7B4336D08EC5DBCD66714FFB8C4ED64CA899A122C0BC79C447ED8526DA37980A06B59DC6379B6D981B72L2G3N" TargetMode = "External"/>
	<Relationship Id="rId33" Type="http://schemas.openxmlformats.org/officeDocument/2006/relationships/hyperlink" Target="consultantplus://offline/ref=331E7B4336D08EC5DBCD66714FFB8C4ED64CA99EA722C0BC79C447ED8526DA37980A06B59DC6379B6D981B72L2G3N" TargetMode = "External"/>
	<Relationship Id="rId34" Type="http://schemas.openxmlformats.org/officeDocument/2006/relationships/hyperlink" Target="consultantplus://offline/ref=331E7B4336D08EC5DBCD66714FFB8C4ED34EA199AD7FCAB420C845EA8A79DF22895209BE8AD93784719A19L7G2N" TargetMode = "External"/>
	<Relationship Id="rId35" Type="http://schemas.openxmlformats.org/officeDocument/2006/relationships/hyperlink" Target="consultantplus://offline/ref=331E7B4336D08EC5DBCD66714FFB8C4ED148A89FAD7FCAB420C845EA8A79DF22895209BE8AD93784719A19L7G2N" TargetMode = "External"/>
	<Relationship Id="rId36" Type="http://schemas.openxmlformats.org/officeDocument/2006/relationships/hyperlink" Target="consultantplus://offline/ref=331E7B4336D08EC5DBCD66714FFB8C4ED24FA090F075C2ED2CCA42E5D57CCA33D15D02A995D928987398L1G9N" TargetMode = "External"/>
	<Relationship Id="rId37" Type="http://schemas.openxmlformats.org/officeDocument/2006/relationships/hyperlink" Target="consultantplus://offline/ref=331E7B4336D08EC5DBCD66714FFB8C4ED64BA199AD7FCAB420C845EA8A79DF22895209BE8AD93784719A19L7G2N" TargetMode = "External"/>
	<Relationship Id="rId38" Type="http://schemas.openxmlformats.org/officeDocument/2006/relationships/hyperlink" Target="consultantplus://offline/ref=331E7B4336D08EC5DBCD66714FFB8C4ED648A79DAD7FCAB420C845EA8A79DF22895209BE8AD93784719A19L7G2N" TargetMode = "External"/>
	<Relationship Id="rId39" Type="http://schemas.openxmlformats.org/officeDocument/2006/relationships/hyperlink" Target="consultantplus://offline/ref=331E7B4336D08EC5DBCD66714FFB8C4EDF42A990F075C2ED2CCA42E5D57CCA33D15D02A995D928987398L1G9N" TargetMode = "External"/>
	<Relationship Id="rId40" Type="http://schemas.openxmlformats.org/officeDocument/2006/relationships/hyperlink" Target="consultantplus://offline/ref=331E7B4336D08EC5DBCD66714FFB8C4ED54BA299AD7FCAB420C845EA8A79DF22895209BE8AD93784719A19L7G2N" TargetMode = "External"/>
	<Relationship Id="rId41" Type="http://schemas.openxmlformats.org/officeDocument/2006/relationships/hyperlink" Target="consultantplus://offline/ref=331E7B4336D08EC5DBCD66714FFB8C4ED449A59BAD7FCAB420C845EA8A79DF22895209BE8AD93784719A19L7G2N" TargetMode = "External"/>
	<Relationship Id="rId42" Type="http://schemas.openxmlformats.org/officeDocument/2006/relationships/hyperlink" Target="consultantplus://offline/ref=331E7B4336D08EC5DBCD66714FFB8C4ED149A898AD7FCAB420C845EA8A79DF22895209BE8AD93784719A19L7G2N" TargetMode = "External"/>
	<Relationship Id="rId43" Type="http://schemas.openxmlformats.org/officeDocument/2006/relationships/hyperlink" Target="consultantplus://offline/ref=331E7B4336D08EC5DBCD66714FFB8C4ED643A690F075C2ED2CCA42E5D57CCA33D15D02A995D928987398L1G9N" TargetMode = "External"/>
	<Relationship Id="rId44" Type="http://schemas.openxmlformats.org/officeDocument/2006/relationships/hyperlink" Target="consultantplus://offline/ref=331E7B4336D08EC5DBCD66714FFB8C4ED34FA89EAD7FCAB420C845EA8A79DF22895209BE8AD93784719A19L7G2N" TargetMode = "External"/>
	<Relationship Id="rId45" Type="http://schemas.openxmlformats.org/officeDocument/2006/relationships/hyperlink" Target="consultantplus://offline/ref=331E7B4336D08EC5DBCD66714FFB8C4ED34FA998AD7FCAB420C845EA8A79DF22895209BE8AD93784719A19L7G2N" TargetMode = "External"/>
	<Relationship Id="rId46" Type="http://schemas.openxmlformats.org/officeDocument/2006/relationships/hyperlink" Target="consultantplus://offline/ref=331E7B4336D08EC5DBCD66714FFB8C4ED34CA49AAD7FCAB420C845EA8A79DF22895209BE8AD93784719A19L7G2N" TargetMode = "External"/>
	<Relationship Id="rId47" Type="http://schemas.openxmlformats.org/officeDocument/2006/relationships/hyperlink" Target="consultantplus://offline/ref=331E7B4336D08EC5DBCD66714FFB8C4ED34CA49CAD7FCAB420C845EA8A79DF22895209BE8AD93784719A19L7G2N" TargetMode = "External"/>
	<Relationship Id="rId48" Type="http://schemas.openxmlformats.org/officeDocument/2006/relationships/hyperlink" Target="consultantplus://offline/ref=331E7B4336D08EC5DBCD66714FFB8C4ED14EA99EAD7FCAB420C845EA8A79DF22895209BE8AD93784719A19L7G2N" TargetMode = "External"/>
	<Relationship Id="rId49" Type="http://schemas.openxmlformats.org/officeDocument/2006/relationships/hyperlink" Target="consultantplus://offline/ref=331E7B4336D08EC5DBCD66714FFB8C4ED14EA99DAD7FCAB420C845EA8A79DF22895209BE8AD93784719A19L7G2N" TargetMode = "External"/>
	<Relationship Id="rId50" Type="http://schemas.openxmlformats.org/officeDocument/2006/relationships/hyperlink" Target="consultantplus://offline/ref=331E7B4336D08EC5DBCD66714FFB8C4ED04FA598AD7FCAB420C845EA8A79DF22895209BE8AD93784719A19L7G2N" TargetMode = "External"/>
	<Relationship Id="rId51" Type="http://schemas.openxmlformats.org/officeDocument/2006/relationships/hyperlink" Target="consultantplus://offline/ref=331E7B4336D08EC5DBCD66714FFB8C4ED64DA599A522C0BC79C447ED8526DA37980A06B59DC6379B6D981B72L2G3N" TargetMode = "External"/>
	<Relationship Id="rId52" Type="http://schemas.openxmlformats.org/officeDocument/2006/relationships/hyperlink" Target="consultantplus://offline/ref=331E7B4336D08EC5DBCD66714FFB8C4ED64CA89BA322C0BC79C447ED8526DA37980A06B59DC6379B6D981B72L2G3N" TargetMode = "External"/>
	<Relationship Id="rId53" Type="http://schemas.openxmlformats.org/officeDocument/2006/relationships/hyperlink" Target="consultantplus://offline/ref=331E7B4336D08EC5DBCD66714FFB8C4ED54BA09AA522C0BC79C447ED8526DA37980A06B59DC6379B6D981B72L2G3N" TargetMode = "External"/>
	<Relationship Id="rId54" Type="http://schemas.openxmlformats.org/officeDocument/2006/relationships/hyperlink" Target="consultantplus://offline/ref=331E7B4336D08EC5DBCD66714FFB8C4ED44BA599A322C0BC79C447ED8526DA37980A06B59DC6379B6D981B72L2G3N" TargetMode = "External"/>
	<Relationship Id="rId55" Type="http://schemas.openxmlformats.org/officeDocument/2006/relationships/hyperlink" Target="consultantplus://offline/ref=331E7B4336D08EC5DBCD66714FFB8C4ED54FA29DA422C0BC79C447ED8526DA37980A06B59DC6379B6D981B72L2G3N" TargetMode = "External"/>
	<Relationship Id="rId56" Type="http://schemas.openxmlformats.org/officeDocument/2006/relationships/hyperlink" Target="consultantplus://offline/ref=331E7B4336D08EC5DBCD66714FFB8C4ED642A499AE22C0BC79C447ED8526DA37980A06B59DC6379B6D981B72L2G3N" TargetMode = "External"/>
	<Relationship Id="rId57" Type="http://schemas.openxmlformats.org/officeDocument/2006/relationships/hyperlink" Target="consultantplus://offline/ref=331E7B4336D08EC5DBCD66714FFB8C4ED54BA098AF22C0BC79C447ED8526DA37980A06B59DC6379B6D981B72L2G3N" TargetMode = "External"/>
	<Relationship Id="rId58" Type="http://schemas.openxmlformats.org/officeDocument/2006/relationships/hyperlink" Target="consultantplus://offline/ref=331E7B4336D08EC5DBCD66714FFB8C4ED34EA199AD7FCAB420C845EA8A79DF22895209BE8AD93784719A19L7G2N" TargetMode = "External"/>
	<Relationship Id="rId59" Type="http://schemas.openxmlformats.org/officeDocument/2006/relationships/hyperlink" Target="consultantplus://offline/ref=331E7B4336D08EC5DBCD7A7153FB8C4ED34BA59AAD7FCAB420C845EA8A79DF22895209BE8AD93784719A19L7G2N" TargetMode = "External"/>
	<Relationship Id="rId60" Type="http://schemas.openxmlformats.org/officeDocument/2006/relationships/hyperlink" Target="consultantplus://offline/ref=331E7B4336D08EC5DBCD7A7153FB8C4ED349A79AAD7FCAB420C845EA8A79DF22895209BE8AD93784719A19L7G2N" TargetMode = "External"/>
	<Relationship Id="rId61" Type="http://schemas.openxmlformats.org/officeDocument/2006/relationships/hyperlink" Target="consultantplus://offline/ref=331E7B4336D08EC5DBCD7A7153FB8C4ED34BA29BAD7FCAB420C845EA8A79DF22895209BE8AD93784719A19L7G2N" TargetMode = "External"/>
	<Relationship Id="rId62" Type="http://schemas.openxmlformats.org/officeDocument/2006/relationships/hyperlink" Target="consultantplus://offline/ref=331E7B4336D08EC5DBCD7A7153FB8C4ED44DA490F075C2ED2CCA42E5D57CCA33D15D02A995D928987398L1G9N" TargetMode = "External"/>
	<Relationship Id="rId63" Type="http://schemas.openxmlformats.org/officeDocument/2006/relationships/hyperlink" Target="consultantplus://offline/ref=331E7B4336D08EC5DBCD7A7153FB8C4ED24CA79CAD7FCAB420C845EA8A79DF22895209BE8AD93784719A19L7G2N" TargetMode = "External"/>
	<Relationship Id="rId64" Type="http://schemas.openxmlformats.org/officeDocument/2006/relationships/hyperlink" Target="consultantplus://offline/ref=331E7B4336D08EC5DBCD66714FFB8C4ED64AA99BA222C0BC79C447ED8526DA37980A06B59DC6379B6D981B72L2G3N" TargetMode = "External"/>
	<Relationship Id="rId65" Type="http://schemas.openxmlformats.org/officeDocument/2006/relationships/hyperlink" Target="consultantplus://offline/ref=331E7B4336D08EC5DBCD66714FFB8C4ED64AA99BA222C0BC79C447ED8526DA37980A06B59DC6379B6D981B72L2G3N" TargetMode = "External"/>
	<Relationship Id="rId66" Type="http://schemas.openxmlformats.org/officeDocument/2006/relationships/hyperlink" Target="consultantplus://offline/ref=331E7B4336D08EC5DBCD66714FFB8C4ED54FA49AA022C0BC79C447ED8526DA37980A06B59DC6379B6D981B72L2G3N" TargetMode = "External"/>
	<Relationship Id="rId67" Type="http://schemas.openxmlformats.org/officeDocument/2006/relationships/hyperlink" Target="consultantplus://offline/ref=331E7B4336D08EC5DBCD66714FFB8C4ED449A29FA222C0BC79C447ED8526DA37980A06B59DC6379B6D981B72L2G3N" TargetMode = "External"/>
	<Relationship Id="rId68" Type="http://schemas.openxmlformats.org/officeDocument/2006/relationships/hyperlink" Target="consultantplus://offline/ref=331E7B4336D08EC5DBCD66714FFB8C4ED64BA199AD7FCAB420C845EA8A79DF22895209BE8AD93784719A19L7G2N" TargetMode = "External"/>
	<Relationship Id="rId69" Type="http://schemas.openxmlformats.org/officeDocument/2006/relationships/hyperlink" Target="consultantplus://offline/ref=331E7B4336D08EC5DBCD66714FFB8C4ED548A19DA322C0BC79C447ED8526DA37980A06B59DC6379B6D981B72L2G3N" TargetMode = "External"/>
	<Relationship Id="rId70" Type="http://schemas.openxmlformats.org/officeDocument/2006/relationships/hyperlink" Target="consultantplus://offline/ref=331E7B4336D08EC5DBCD66714FFB8C4EDE48A390F075C2ED2CCA42E5D57CCA33D15D02A995D928987398L1G9N" TargetMode = "External"/>
	<Relationship Id="rId71" Type="http://schemas.openxmlformats.org/officeDocument/2006/relationships/hyperlink" Target="consultantplus://offline/ref=331E7B4336D08EC5DBCD66714FFB8C4ED642A499AE22C0BC79C447ED8526DA37980A06B59DC6379B6D981B72L2G3N" TargetMode = "External"/>
	<Relationship Id="rId72" Type="http://schemas.openxmlformats.org/officeDocument/2006/relationships/hyperlink" Target="consultantplus://offline/ref=331E7B4336D08EC5DBCD66714FFB8C4ED54CA299AD7FCAB420C845EA8A79DF22895209BE8AD93784719A19L7G2N" TargetMode = "External"/>
	<Relationship Id="rId73" Type="http://schemas.openxmlformats.org/officeDocument/2006/relationships/hyperlink" Target="consultantplus://offline/ref=331E7B4336D08EC5DBCD66714FFB8C4ED54BA39AA222C0BC79C447ED8526DA37980A06B59DC6379B6D981B72L2G3N" TargetMode = "External"/>
	<Relationship Id="rId74" Type="http://schemas.openxmlformats.org/officeDocument/2006/relationships/hyperlink" Target="consultantplus://offline/ref=331E7B4336D08EC5DBCD66714FFB8C4ED24FA790F075C2ED2CCA42E5D57CCA33D15D02A995D928987398L1G9N" TargetMode = "External"/>
	<Relationship Id="rId75" Type="http://schemas.openxmlformats.org/officeDocument/2006/relationships/hyperlink" Target="consultantplus://offline/ref=331E7B4336D08EC5DBCD66714FFB8C4ED34FA89EAD7FCAB420C845EA8A79DF22895209BE8AD93784719A19L7G2N" TargetMode = "External"/>
	<Relationship Id="rId76" Type="http://schemas.openxmlformats.org/officeDocument/2006/relationships/hyperlink" Target="consultantplus://offline/ref=331E7B4336D08EC5DBCD66714FFB8C4ED64CA89DA722C0BC79C447ED8526DA37980A06B59DC6379B6D981B72L2G3N" TargetMode = "External"/>
	<Relationship Id="rId77" Type="http://schemas.openxmlformats.org/officeDocument/2006/relationships/hyperlink" Target="consultantplus://offline/ref=331E7B4336D08EC5DBCD66714FFB8C4ED149A898AD7FCAB420C845EA8A79DF22895209BE8AD93784719A19L7G2N" TargetMode = "External"/>
	<Relationship Id="rId78" Type="http://schemas.openxmlformats.org/officeDocument/2006/relationships/hyperlink" Target="consultantplus://offline/ref=331E7B4336D08EC5DBCD66714FFB8C4ED54BA098AF22C0BC79C447ED8526DA37980A06B59DC6379B6D981B72L2G3N" TargetMode = "External"/>
	<Relationship Id="rId79" Type="http://schemas.openxmlformats.org/officeDocument/2006/relationships/hyperlink" Target="consultantplus://offline/ref=331E7B4336D08EC5DBCD66714FFB8C4ED649A593A322C0BC79C447ED8526DA37980A06B59DC6379B6D981B72L2G3N" TargetMode = "External"/>
	<Relationship Id="rId80" Type="http://schemas.openxmlformats.org/officeDocument/2006/relationships/hyperlink" Target="consultantplus://offline/ref=331E7B4336D08EC5DBCD66714FFB8C4ED449A59BAD7FCAB420C845EA8A79DF22895209BE8AD93784719A19L7G2N" TargetMode = "External"/>
	<Relationship Id="rId81" Type="http://schemas.openxmlformats.org/officeDocument/2006/relationships/hyperlink" Target="consultantplus://offline/ref=331E7B4336D08EC5DBCD66714FFB8C4ED34CA49AAD7FCAB420C845EA8A79DF22895209BE8AD93784719A19L7G2N" TargetMode = "External"/>
	<Relationship Id="rId82" Type="http://schemas.openxmlformats.org/officeDocument/2006/relationships/hyperlink" Target="consultantplus://offline/ref=331E7B4336D08EC5DBCD66714FFB8C4ED648A79DAD7FCAB420C845EA8A79DF22895209BE8AD93784719A19L7G2N" TargetMode = "External"/>
	<Relationship Id="rId83" Type="http://schemas.openxmlformats.org/officeDocument/2006/relationships/hyperlink" Target="consultantplus://offline/ref=331E7B4336D08EC5DBCD66714FFB8C4ED64CA899A122C0BC79C447ED8526DA37980A06B59DC6379B6D981B72L2G3N" TargetMode = "External"/>
	<Relationship Id="rId84" Type="http://schemas.openxmlformats.org/officeDocument/2006/relationships/hyperlink" Target="consultantplus://offline/ref=331E7B4336D08EC5DBCD66714FFB8C4ED24FA090F075C2ED2CCA42E5D57CCA33D15D02A995D928987398L1G9N" TargetMode = "External"/>
	<Relationship Id="rId85" Type="http://schemas.openxmlformats.org/officeDocument/2006/relationships/hyperlink" Target="consultantplus://offline/ref=331E7B4336D08EC5DBCD66714FFB8C4ED648A79DAD7FCAB420C845EA8A79DF22895209BE8AD93784719A19L7G2N" TargetMode = "External"/>
	<Relationship Id="rId86" Type="http://schemas.openxmlformats.org/officeDocument/2006/relationships/hyperlink" Target="consultantplus://offline/ref=331E7B4336D08EC5DBCD66714FFB8C4ED642A89DA522C0BC79C447ED8526DA37980A06B59DC6379B6D981B72L2G3N" TargetMode = "External"/>
	<Relationship Id="rId87" Type="http://schemas.openxmlformats.org/officeDocument/2006/relationships/hyperlink" Target="consultantplus://offline/ref=331E7B4336D08EC5DBCD66714FFB8C4ED64CA99EA722C0BC79C447ED8526DA37980A06B59DC6379B6D981B72L2G3N" TargetMode = "External"/>
	<Relationship Id="rId88" Type="http://schemas.openxmlformats.org/officeDocument/2006/relationships/hyperlink" Target="consultantplus://offline/ref=331E7B4336D08EC5DBCD66714FFB8C4ED24FA090F075C2ED2CCA42E5D57CCA33D15D02A995D928987398L1G9N" TargetMode = "External"/>
	<Relationship Id="rId89" Type="http://schemas.openxmlformats.org/officeDocument/2006/relationships/hyperlink" Target="consultantplus://offline/ref=331E7B4336D08EC5DBCD66714FFB8C4ED648A79DAD7FCAB420C845EA8A79DF22895209BE8AD93784719A19L7G2N" TargetMode = "External"/>
	<Relationship Id="rId90" Type="http://schemas.openxmlformats.org/officeDocument/2006/relationships/hyperlink" Target="consultantplus://offline/ref=331E7B4336D08EC5DBCD66714FFB8C4ED642A89DA522C0BC79C447ED8526DA37980A06B59DC6379B6D981B72L2G3N" TargetMode = "External"/>
	<Relationship Id="rId91" Type="http://schemas.openxmlformats.org/officeDocument/2006/relationships/hyperlink" Target="consultantplus://offline/ref=331E7B4336D08EC5DBCD66714FFB8C4ED54FA89DA022C0BC79C447ED8526DA37980A06B59DC6379B6D981B72L2G3N" TargetMode = "External"/>
	<Relationship Id="rId92" Type="http://schemas.openxmlformats.org/officeDocument/2006/relationships/hyperlink" Target="consultantplus://offline/ref=331E7B4336D08EC5DBCD66714FFB8C4ED54BA299AD7FCAB420C845EA8A79DF22895209BE8AD93784719A19L7G2N" TargetMode = "External"/>
	<Relationship Id="rId93" Type="http://schemas.openxmlformats.org/officeDocument/2006/relationships/hyperlink" Target="consultantplus://offline/ref=331E7B4336D08EC5DBCD66714FFB8C4ED64CA89BA322C0BC79C447ED8526DA37980A06B59DC6379B6D981B72L2G3N" TargetMode = "External"/>
	<Relationship Id="rId94" Type="http://schemas.openxmlformats.org/officeDocument/2006/relationships/hyperlink" Target="consultantplus://offline/ref=331E7B4336D08EC5DBCD66714FFB8C4ED643A690F075C2ED2CCA42E5D57CCA33D15D02A995D928987398L1G9N" TargetMode = "External"/>
	<Relationship Id="rId95" Type="http://schemas.openxmlformats.org/officeDocument/2006/relationships/hyperlink" Target="consultantplus://offline/ref=331E7B4336D08EC5DBCD66714FFB8C4ED44BA599A322C0BC79C447ED8526DA37980A06B59DC6379B6D981B72L2G3N" TargetMode = "External"/>
	<Relationship Id="rId96" Type="http://schemas.openxmlformats.org/officeDocument/2006/relationships/hyperlink" Target="consultantplus://offline/ref=331E7B4336D08EC5DBCD66714FFB8C4ED54FA29DA422C0BC79C447ED8526DA37980A06B59DC6379B6D981B72L2G3N" TargetMode = "External"/>
	<Relationship Id="rId97" Type="http://schemas.openxmlformats.org/officeDocument/2006/relationships/hyperlink" Target="consultantplus://offline/ref=331E7B4336D08EC5DBCD66714FFB8C4EDF42A990F075C2ED2CCA42E5D57CCA33D15D02A995D928987398L1G9N" TargetMode = "External"/>
	<Relationship Id="rId98" Type="http://schemas.openxmlformats.org/officeDocument/2006/relationships/hyperlink" Target="consultantplus://offline/ref=331E7B4336D08EC5DBCD66714FFB8C4ED34CA49CAD7FCAB420C845EA8A79DF22895209BE8AD93784719A19L7G2N" TargetMode = "External"/>
	<Relationship Id="rId99" Type="http://schemas.openxmlformats.org/officeDocument/2006/relationships/hyperlink" Target="consultantplus://offline/ref=331E7B4336D08EC5DBCD66714FFB8C4ED54BA09AA522C0BC79C447ED8526DA37980A06B59DC6379B6D981B72L2G3N" TargetMode = "External"/>
	<Relationship Id="rId100" Type="http://schemas.openxmlformats.org/officeDocument/2006/relationships/hyperlink" Target="consultantplus://offline/ref=331E7B4336D08EC5DBCD66714FFB8C4ED148A89FAD7FCAB420C845EA8A79DF22895209BE8AD93784719A19L7G2N" TargetMode = "External"/>
	<Relationship Id="rId101" Type="http://schemas.openxmlformats.org/officeDocument/2006/relationships/hyperlink" Target="consultantplus://offline/ref=331E7B4336D08EC5DBCD66714FFB8C4ED34FA998AD7FCAB420C845EA8A79DF22895209BE8AD93784719A19L7G2N" TargetMode = "External"/>
	<Relationship Id="rId102" Type="http://schemas.openxmlformats.org/officeDocument/2006/relationships/hyperlink" Target="consultantplus://offline/ref=331E7B4336D08EC5DBCD66714FFB8C4ED64DA599A522C0BC79C447ED8526DA37980A06B59DC6379B6D981B72L2G3N" TargetMode = "External"/>
	<Relationship Id="rId103" Type="http://schemas.openxmlformats.org/officeDocument/2006/relationships/hyperlink" Target="consultantplus://offline/ref=331E7B4336D08EC5DBCD66714FFB8C4ED148A89FAD7FCAB420C845EA8A79DF22895209BE8AD93784719A19L7G2N" TargetMode = "External"/>
	<Relationship Id="rId104" Type="http://schemas.openxmlformats.org/officeDocument/2006/relationships/hyperlink" Target="consultantplus://offline/ref=331E7B4336D08EC5DBCD66714FFB8C4ED04FA598AD7FCAB420C845EA8A79DF22895209BE8AD93784719A19L7G2N" TargetMode = "External"/>
	<Relationship Id="rId105" Type="http://schemas.openxmlformats.org/officeDocument/2006/relationships/hyperlink" Target="consultantplus://offline/ref=331E7B4336D08EC5DBCD66714FFB8C4ED14EA99EAD7FCAB420C845EA8A79DF22895209BE8AD93784719A19L7G2N" TargetMode = "External"/>
	<Relationship Id="rId106" Type="http://schemas.openxmlformats.org/officeDocument/2006/relationships/hyperlink" Target="consultantplus://offline/ref=331E7B4336D08EC5DBCD66714FFB8C4ED14EA99DAD7FCAB420C845EA8A79DF22895209BE8AD93784719A19L7G2N" TargetMode = "External"/>
	<Relationship Id="rId107" Type="http://schemas.openxmlformats.org/officeDocument/2006/relationships/hyperlink" Target="consultantplus://offline/ref=331E7B4336D08EC5DBCD656456FB8C4ED542A89BA32A9DB6719D4BEF822985329F1B06B694D8369874914F21658275A3853C3B829F6A8528LFGDN" TargetMode = "External"/>
	<Relationship Id="rId108" Type="http://schemas.openxmlformats.org/officeDocument/2006/relationships/hyperlink" Target="consultantplus://offline/ref=331E7B4336D08EC5DBCD656456FB8C4ED443A299A62D9DB6719D4BEF822985329F1B06B694D8369E7B914F21658275A3853C3B829F6A8528LFGDN" TargetMode = "External"/>
	<Relationship Id="rId109" Type="http://schemas.openxmlformats.org/officeDocument/2006/relationships/hyperlink" Target="consultantplus://offline/ref=331E7B4336D08EC5DBCD656456FB8C4EDF4AA99BA622C0BC79C447ED8526DA2598520AB794D8379A78CE4A3474DA7AA892233B9D836887L2G8N" TargetMode = "External"/>
	<Relationship Id="rId110" Type="http://schemas.openxmlformats.org/officeDocument/2006/relationships/hyperlink" Target="consultantplus://offline/ref=331E7B4336D08EC5DBCD656456FB8C4ED44EA198A4209DB6719D4BEF822985329F1B06B694DA37937B914F21658275A3853C3B829F6A8528LFG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28674-2019. Межгосударственный стандарт. Горох. Технические условия"
(введен в действие Приказом Росстандарта от 15.10.2019 N 998-ст)</dc:title>
  <dcterms:created xsi:type="dcterms:W3CDTF">2022-11-29T13:06:09Z</dcterms:created>
</cp:coreProperties>
</file>