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5183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346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30.06.2021 N 1089</w:t>
            </w:r>
            <w:r>
              <w:rPr>
                <w:sz w:val="48"/>
                <w:szCs w:val="48"/>
              </w:rPr>
              <w:br/>
              <w:t>(ред. от 26.01.2022)</w:t>
            </w:r>
            <w:r>
              <w:rPr>
                <w:sz w:val="48"/>
                <w:szCs w:val="48"/>
              </w:rPr>
              <w:br/>
              <w:t>"О федеральном государственном контроле (надзоре) в области обращения с животными"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"Положением о федеральном государственном контроле (надзоре) в области обращения с животными")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346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346A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46AB">
      <w:pPr>
        <w:pStyle w:val="ConsPlusNormal"/>
        <w:jc w:val="both"/>
        <w:outlineLvl w:val="0"/>
      </w:pPr>
    </w:p>
    <w:p w:rsidR="00000000" w:rsidRDefault="00E346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346AB">
      <w:pPr>
        <w:pStyle w:val="ConsPlusTitle"/>
        <w:jc w:val="center"/>
      </w:pPr>
    </w:p>
    <w:p w:rsidR="00000000" w:rsidRDefault="00E346AB">
      <w:pPr>
        <w:pStyle w:val="ConsPlusTitle"/>
        <w:jc w:val="center"/>
      </w:pPr>
      <w:r>
        <w:t>ПОСТАНОВЛЕНИЕ</w:t>
      </w:r>
    </w:p>
    <w:p w:rsidR="00000000" w:rsidRDefault="00E346AB">
      <w:pPr>
        <w:pStyle w:val="ConsPlusTitle"/>
        <w:jc w:val="center"/>
      </w:pPr>
      <w:r>
        <w:t>от 30 июня 2021 г. N 1089</w:t>
      </w:r>
    </w:p>
    <w:p w:rsidR="00000000" w:rsidRDefault="00E346AB">
      <w:pPr>
        <w:pStyle w:val="ConsPlusTitle"/>
        <w:jc w:val="center"/>
      </w:pPr>
    </w:p>
    <w:p w:rsidR="00000000" w:rsidRDefault="00E346AB">
      <w:pPr>
        <w:pStyle w:val="ConsPlusTitle"/>
        <w:jc w:val="center"/>
      </w:pPr>
      <w:r>
        <w:t>О ФЕДЕРАЛЬНОМ ГОСУДАРСТВЕННОМ КОНТРОЛЕ (НАДЗОРЕ)</w:t>
      </w:r>
    </w:p>
    <w:p w:rsidR="00000000" w:rsidRDefault="00E346AB">
      <w:pPr>
        <w:pStyle w:val="ConsPlusTitle"/>
        <w:jc w:val="center"/>
      </w:pPr>
      <w:r>
        <w:t>В ОБЛАСТИ ОБРАЩЕНИЯ С ЖИВОТНЫМИ</w:t>
      </w:r>
    </w:p>
    <w:p w:rsidR="00000000" w:rsidRDefault="00E346A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26.01.2022 N 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пунктом 9 части 1 статьи 5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</w:t>
      </w:r>
      <w:r>
        <w:t>рации" Правительство Российской Федерации постановляет: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области обращения с животными.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остановление Правительства РФ от 30.11.2019 N 1560 &quot;Об утверждении Правил организации и осуществления государственного надзора в области обращения с животным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2019 г. N 1560 "Об утверждении Правил организации и осуществления государственного надзора в области обраще</w:t>
      </w:r>
      <w:r>
        <w:t>ния с животными" (Собрание законодательства Российской Федерации, 2019, N 49, ст. 7138).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</w:t>
      </w:r>
      <w:r>
        <w:t>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4. Включенные в план проведения плановых прове</w:t>
      </w:r>
      <w:r>
        <w:t xml:space="preserve">рок на 2021 год проверки в рамках государственного надзора в области обращения с животными, дата начала которых наступает позже 30 июня 2021 г., подлежат проведению в рамках федерального государственного контроля (надзора) в соответствии с </w:t>
      </w:r>
      <w:hyperlink w:anchor="Par31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jc w:val="right"/>
      </w:pPr>
      <w:r>
        <w:t>Председатель Правительства</w:t>
      </w:r>
    </w:p>
    <w:p w:rsidR="00000000" w:rsidRDefault="00E346AB">
      <w:pPr>
        <w:pStyle w:val="ConsPlusNormal"/>
        <w:jc w:val="right"/>
      </w:pPr>
      <w:r>
        <w:t>Российской Федерации</w:t>
      </w:r>
    </w:p>
    <w:p w:rsidR="00000000" w:rsidRDefault="00E346AB">
      <w:pPr>
        <w:pStyle w:val="ConsPlusNormal"/>
        <w:jc w:val="right"/>
      </w:pPr>
      <w:r>
        <w:t>М.МИШУСТИН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jc w:val="right"/>
        <w:outlineLvl w:val="0"/>
      </w:pPr>
      <w:r>
        <w:t>Утверждено</w:t>
      </w:r>
    </w:p>
    <w:p w:rsidR="00000000" w:rsidRDefault="00E346AB">
      <w:pPr>
        <w:pStyle w:val="ConsPlusNormal"/>
        <w:jc w:val="right"/>
      </w:pPr>
      <w:r>
        <w:t>постановлением Правительства</w:t>
      </w:r>
    </w:p>
    <w:p w:rsidR="00000000" w:rsidRDefault="00E346AB">
      <w:pPr>
        <w:pStyle w:val="ConsPlusNormal"/>
        <w:jc w:val="right"/>
      </w:pPr>
      <w:r>
        <w:t>Российской Федерации</w:t>
      </w:r>
    </w:p>
    <w:p w:rsidR="00000000" w:rsidRDefault="00E346AB">
      <w:pPr>
        <w:pStyle w:val="ConsPlusNormal"/>
        <w:jc w:val="right"/>
      </w:pPr>
      <w:r>
        <w:t>от 30 июня 2021 г. N 1089</w:t>
      </w:r>
    </w:p>
    <w:p w:rsidR="00000000" w:rsidRDefault="00E346AB">
      <w:pPr>
        <w:pStyle w:val="ConsPlusNormal"/>
        <w:jc w:val="right"/>
      </w:pPr>
    </w:p>
    <w:p w:rsidR="00000000" w:rsidRDefault="00E346AB">
      <w:pPr>
        <w:pStyle w:val="ConsPlusTitle"/>
        <w:jc w:val="center"/>
      </w:pPr>
      <w:bookmarkStart w:id="1" w:name="Par31"/>
      <w:bookmarkEnd w:id="1"/>
      <w:r>
        <w:t>ПОЛОЖЕНИЕ</w:t>
      </w:r>
    </w:p>
    <w:p w:rsidR="00000000" w:rsidRDefault="00E346AB">
      <w:pPr>
        <w:pStyle w:val="ConsPlusTitle"/>
        <w:jc w:val="center"/>
      </w:pPr>
      <w:r>
        <w:t>О ФЕДЕРАЛЬНОМ ГОСУДАРСТВЕННОМ КОНТРОЛЕ (НАДЗОРЕ) В ОБЛАСТИ</w:t>
      </w:r>
    </w:p>
    <w:p w:rsidR="00000000" w:rsidRDefault="00E346AB">
      <w:pPr>
        <w:pStyle w:val="ConsPlusTitle"/>
        <w:jc w:val="center"/>
      </w:pPr>
      <w:r>
        <w:t>ОБРАЩЕНИЯ С ЖИВОТНЫМИ</w:t>
      </w:r>
    </w:p>
    <w:p w:rsidR="00000000" w:rsidRDefault="00E346A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26.01.2022 N 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46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346AB">
      <w:pPr>
        <w:pStyle w:val="ConsPlusNormal"/>
        <w:jc w:val="center"/>
      </w:pPr>
    </w:p>
    <w:p w:rsidR="00000000" w:rsidRDefault="00E346AB">
      <w:pPr>
        <w:pStyle w:val="ConsPlusTitle"/>
        <w:jc w:val="center"/>
        <w:outlineLvl w:val="1"/>
      </w:pPr>
      <w:r>
        <w:t>I. Общие положения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1 Настоя</w:t>
      </w:r>
      <w:r>
        <w:t>щее Положение устанавливает порядок организации и осуществления федерального государственного контроля (надзора) в области обращения с животными, за исключением обращения со служебными животными (далее - государственный контроль (надзор).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2. Предметом госу</w:t>
      </w:r>
      <w:r>
        <w:t>дарственного контроля (надзора) являются: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а) соблюдение юридическими лицами, индивидуальными предпринимателями и гражданами (далее - контролируемые лица) обязательных требований в области обращения с животными, установленных Федеральным </w:t>
      </w:r>
      <w:hyperlink r:id="rId13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и принимаемыми в соответствии с ним иными нормативн</w:t>
      </w:r>
      <w:r>
        <w:t>ыми правовыми актами Российской Федерации в области обращения с животными, при содержании и использовании диких животных, содержащихся или используемых в условиях неволи, содержании и использовании животных в культурно-зрелищных целях (далее - обязательные</w:t>
      </w:r>
      <w:r>
        <w:t xml:space="preserve"> требования);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соблюдение юридическими лицами, индивидуальными предпринимателями (далее - организации)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</w:t>
      </w:r>
      <w:r>
        <w:t xml:space="preserve"> океанариумах.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3. Государственный контроль (надзор) осуществляется следующими контрольными (надзорными) органами: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Федеральная служба по надзору в сфере природопользования и ее территориальные органы в части соблюдения требований к содержанию и использовани</w:t>
      </w:r>
      <w:r>
        <w:t xml:space="preserve">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</w:t>
      </w:r>
      <w:r>
        <w:t>содержанию и использованию таких животных в культурно-зрелищных целях);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Федеральная служба по ветеринарному и фитосанитарному надзору и ее территориальные органы в части соблюдения требований к содержанию и использованию животных в культурно-зрелищных целя</w:t>
      </w:r>
      <w:r>
        <w:t>х,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000000" w:rsidRDefault="00E346AB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26.01.2022 N 51)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руководители Федеральной службы по надзору в сфере природопользования и Федеральной службы по ветеринарному и фитосанитарному надзору;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заместители руководителя Федеральной службы по надзору в сфере природопользования и Федеральной службы по ветеринар</w:t>
      </w:r>
      <w:r>
        <w:t>ному и фитосанитарному надзору, на которых в соответствии с должностными регламентами возложено осуществление государственного контроля (надзора);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руководители структурных подразделений Федеральной службы по ветеринарному и фитосанитарному надзору и Фед</w:t>
      </w:r>
      <w:r>
        <w:t>еральной службы по надзору в сфере природопользования, на которых в соответствии с должностными регламентами возложено осуществление государственного контроля (надзора);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г) руководители или заместители руководителей территориальных органов Федеральной служ</w:t>
      </w:r>
      <w:r>
        <w:t>бы по ветеринарному и фитосанитарному надзору и Федеральной службы по надзору в сфере природопользования, на которых в соответствии с должностными регламентами возложено осуществление государственного контроля (надзора);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д) другие должностные лица Федераль</w:t>
      </w:r>
      <w:r>
        <w:t xml:space="preserve">ной службы по ветеринарному и фитосанитарному надзору и Федеральной службы по надзору в сфере природопользования и их территориальных органов, на которых в </w:t>
      </w:r>
      <w:r>
        <w:lastRenderedPageBreak/>
        <w:t>соответствии с должностными регламентами возложено осуществление государственного контроля (надзора)</w:t>
      </w:r>
      <w:r>
        <w:t>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руководитель или заместители руководителя Федеральной службы по надзору в сфере природопользования и руководитель или заместители р</w:t>
      </w:r>
      <w:r>
        <w:t>уководителя Федеральной службы по ветеринарному и фитосанитарному надзору;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руководитель или заместители руководителя территориальных органов Федеральной службы по надзору в сфере природопользования и руководитель или заместители руководителя территориал</w:t>
      </w:r>
      <w:r>
        <w:t>ьных органов Федеральной службы по ветеринарному и фитосанитарному надзору.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6. Должностные лица, осуществляющие государственный контроль (надзор), при проведении контрольного (надзорного) мероприятия в пределах своих полномочий и в объеме проводимых контро</w:t>
      </w:r>
      <w:r>
        <w:t xml:space="preserve">льных (надзорных) действий пользуются правами, установленными </w:t>
      </w:r>
      <w:hyperlink r:id="rId1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</w:t>
      </w:r>
      <w:r>
        <w:t xml:space="preserve">ре) и муниципальном контроле в Российской Федерации", а также </w:t>
      </w:r>
      <w:hyperlink r:id="rId16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частями 5</w:t>
        </w:r>
      </w:hyperlink>
      <w:r>
        <w:t xml:space="preserve"> и </w:t>
      </w:r>
      <w:hyperlink r:id="rId17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6 статьи 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7. К отношениям, связанным с осуществлением государственного контроля (надзора), примен</w:t>
      </w:r>
      <w:r>
        <w:t xml:space="preserve">яются положения Федерального </w:t>
      </w:r>
      <w:hyperlink r:id="rId1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Объекты государственного контрол</w:t>
      </w:r>
      <w:r>
        <w:t>я (надзора)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8. Объектами государственного контроля (надзора) (далее - объект контроля) Федеральной службы по ветеринарному и фитосанитарному надзору в рамках государственного контроля (надзора) являются: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деятельность по содержанию и использованию живот</w:t>
      </w:r>
      <w:r>
        <w:t>ных в культурно-зрелищных целях;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 в куль</w:t>
      </w:r>
      <w:r>
        <w:t>турно-зрелищных целях.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>9. Учет объектов контроля Федеральной службой по ветеринарному и фитосанитарному надзору осуществляется: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при лицензировании деятельности по содержанию и использованию животных в зоопарках, зоосадах, цирках, зоотеатрах, д</w:t>
      </w:r>
      <w:r>
        <w:t>ельфинариях, океанариумах;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путем получения информации об объектах контроля из федеральной государственной информацио</w:t>
      </w:r>
      <w:r>
        <w:t>нной системы в области ветеринарии;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г) путем получения информации о содержании и использовании животных в культурно-зрелищных целях гражданами и организациями по итогам проведения профилактических мероприятий, контрольных (надзорных) мероприятий, межведомс</w:t>
      </w:r>
      <w:r>
        <w:t>твенного взаимодействия, а также с учетом информации, содержащейся в государственных информационных ресурсах.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10. Объектами контроля Федеральной службы по надзору в сфере природопользования в рамках государственного контроля (надзора) являются: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деятельн</w:t>
      </w:r>
      <w:r>
        <w:t xml:space="preserve">ость контролируемых лиц и организаций по содержанию и использованию диких животных, содержащихся или используемых в условиях неволи, в том числе принадлежащих к видам, </w:t>
      </w:r>
      <w:r>
        <w:lastRenderedPageBreak/>
        <w:t>занесенным в Красную книгу Российской Федерации и (или) охраняемым международными догово</w:t>
      </w:r>
      <w:r>
        <w:t>рами Российской Федерации;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диких животных, содер</w:t>
      </w:r>
      <w:r>
        <w:t>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содержания и использования животных в культурно</w:t>
      </w:r>
      <w:r>
        <w:t>-зрелищных целях).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3" w:name="Par72"/>
      <w:bookmarkEnd w:id="3"/>
      <w:r>
        <w:t>11. Учет объектов контроля Федеральной службой по надзору в сфере природопользования осуществляется: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при ведении государственного учета зоологических коллекций и отдельных экспонатов;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при выдаче разрешений на: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использование объектов животного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оборот диких животных, принадлежащих к видам, занесенным в Красную книгу Российской</w:t>
      </w:r>
      <w:r>
        <w:t xml:space="preserve"> Федерации;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содержание и разведение объектов животного мира в полувольных условиях и искусстве</w:t>
      </w:r>
      <w:r>
        <w:t>нно созданной среде обитания на особо охраняемых природных территориях федерального значения;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акклиматизацию новых для фауны Российской Федерации объектов животного мира;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переселение объектов животного мира в новые места обитания, гибридизацию объектов жив</w:t>
      </w:r>
      <w:r>
        <w:t xml:space="preserve">отного мира, ввоз в Российскую Федерацию зоологических коллекций,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9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 (далее - Конвенция), кроме осетровых</w:t>
      </w:r>
      <w:r>
        <w:t xml:space="preserve"> видов рыб и продукции из них, включая икру;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путем получения от органов государственной власти субъектов Российской Федерации информации о выданных разрешениях на: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использование объектов животного мира, за исключением объектов, находящихся на особо охра</w:t>
      </w:r>
      <w:r>
        <w:t>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содержание и разведение объектов животного мира, в том числе отнесенных к охотничьим ресурсам, в полувольных условиях и ис</w:t>
      </w:r>
      <w:r>
        <w:t>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</w:t>
      </w:r>
      <w:r>
        <w:t>е обитания, находящихся на особо охраняемых природных территориях федерального значения;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г)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д) при получении информации о </w:t>
      </w:r>
      <w:r>
        <w:t xml:space="preserve">ввозе на территорию Российской Федерации животных, полученной от административных органов </w:t>
      </w:r>
      <w:hyperlink r:id="rId20" w:tooltip="Ссылка на КонсультантПлюс" w:history="1">
        <w:r>
          <w:rPr>
            <w:color w:val="0000FF"/>
          </w:rPr>
          <w:t>Кон</w:t>
        </w:r>
        <w:r>
          <w:rPr>
            <w:color w:val="0000FF"/>
          </w:rPr>
          <w:t>венции</w:t>
        </w:r>
      </w:hyperlink>
      <w:r>
        <w:t xml:space="preserve"> иностранных государств.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12. Контрольными (надзорными) органами осуществляется фиксация сведений об объектах контроля путем их внесения в учетные документы.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Учетный документ может быть создан как на бумажном, так и на электронном носителе и предст</w:t>
      </w:r>
      <w:r>
        <w:t>авляет собой перечень сведений об объекте контроля.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Внесение сведений об объектах контроля осуществляется в течение 2 рабочих дней со дня их поступления.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13. Формирование и ведение учетных документов осуществляется по каждому объекту контроля отдельно.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II</w:t>
      </w:r>
      <w:r>
        <w:t>. Управление рисками причинения вреда</w:t>
      </w:r>
    </w:p>
    <w:p w:rsidR="00000000" w:rsidRDefault="00E346AB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000000" w:rsidRDefault="00E346AB">
      <w:pPr>
        <w:pStyle w:val="ConsPlusTitle"/>
        <w:jc w:val="center"/>
      </w:pPr>
      <w:r>
        <w:t>государственного контроля (надзора)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>14. При осуществлении государственного контроля (надзора) применяется система оценки и управления рисками.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15. Контрольные (н</w:t>
      </w:r>
      <w:r>
        <w:t xml:space="preserve">адзорные) органы при осуществлении государственного контроля (надзора) относят объекты контроля, предусмотренные </w:t>
      </w:r>
      <w:hyperlink w:anchor="Par64" w:tooltip="9. Учет объектов контроля Федеральной службой по ветеринарному и фитосанитарному надзору осуществляется:" w:history="1">
        <w:r>
          <w:rPr>
            <w:color w:val="0000FF"/>
          </w:rPr>
          <w:t>пунктами 9</w:t>
        </w:r>
      </w:hyperlink>
      <w:r>
        <w:t xml:space="preserve"> </w:t>
      </w:r>
      <w:r>
        <w:t xml:space="preserve">и </w:t>
      </w:r>
      <w:hyperlink w:anchor="Par72" w:tooltip="11. Учет объектов контроля Федеральной службой по надзору в сфере природопользования осуществляется:" w:history="1">
        <w:r>
          <w:rPr>
            <w:color w:val="0000FF"/>
          </w:rPr>
          <w:t>11</w:t>
        </w:r>
      </w:hyperlink>
      <w:r>
        <w:t xml:space="preserve"> настоящего Положения, к одной из следующих категорий риска причинения вреда (ущерба) (далее - категории риска):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чрезвычайно</w:t>
      </w:r>
      <w:r>
        <w:t xml:space="preserve"> высокий риск;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высокий риск;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значительный риск;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средний риск;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умеренный риск;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низкий риск.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Критерии отнесения объектов контроля к категориям риска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bookmarkStart w:id="4" w:name="Par106"/>
      <w:bookmarkEnd w:id="4"/>
      <w:r>
        <w:t>16. В рамках осуществления государственного контроля (надзора) объекты контроля относятся к следующим категориям риска: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5" w:name="Par107"/>
      <w:bookmarkEnd w:id="5"/>
      <w:r>
        <w:t>а) к категории высокого риска: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6" w:name="Par108"/>
      <w:bookmarkEnd w:id="6"/>
      <w:r>
        <w:t>деятельность граждан и организаций по содержанию видов животных, указанных в прил</w:t>
      </w:r>
      <w:r>
        <w:t xml:space="preserve">ожении I к </w:t>
      </w:r>
      <w:hyperlink r:id="rId21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 (Вашингтон, 3 марта 1973 г.), занесенных в Красную книгу Российской Федерации с категориями статуса редкости 0, 1, 2, 3;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7" w:name="Par109"/>
      <w:bookmarkEnd w:id="7"/>
      <w:r>
        <w:t>деятельность в области обращени</w:t>
      </w:r>
      <w:r>
        <w:t>я с животными по содержанию и использованию диких животных, содержащихся или используемых в условиях неволи, осуществляемая в зоне экологического бедствия или в зоне чрезвычайной экологической ситуации;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деятельность цирков, дельфинариев, зоопарков, зоосадо</w:t>
      </w:r>
      <w:r>
        <w:t>в, зоотеатров, океанариумов;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8" w:name="Par111"/>
      <w:bookmarkEnd w:id="8"/>
      <w:r>
        <w:t xml:space="preserve">б) к категории среднего риска - деятельность граждан и организаций по содержанию видов животных (не указанных в </w:t>
      </w:r>
      <w:hyperlink w:anchor="Par107" w:tooltip="а) к категории высокого риска:" w:history="1">
        <w:r>
          <w:rPr>
            <w:color w:val="0000FF"/>
          </w:rPr>
          <w:t>подпункте "а"</w:t>
        </w:r>
      </w:hyperlink>
      <w:r>
        <w:t xml:space="preserve"> настоящего пункта):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занесенных</w:t>
      </w:r>
      <w:r>
        <w:t xml:space="preserve"> в Красную книгу Российской Федерации с категориями статуса редкости 4, 5;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указанных в приложениях II, III к </w:t>
      </w:r>
      <w:hyperlink r:id="rId22" w:tooltip="Ссылка на КонсультантПлюс" w:history="1">
        <w:r>
          <w:rPr>
            <w:color w:val="0000FF"/>
          </w:rPr>
          <w:t>Конвенции</w:t>
        </w:r>
      </w:hyperlink>
      <w:r>
        <w:t>;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9" w:name="Par114"/>
      <w:bookmarkEnd w:id="9"/>
      <w:r>
        <w:t xml:space="preserve">в) к категории низкого риска - деятельность по содержанию и использованию диких животных, содержащихся или используемых в условиях неволи, содержанию и использованию животных в </w:t>
      </w:r>
      <w:r>
        <w:lastRenderedPageBreak/>
        <w:t>культурно-зрелищных целях, а также де</w:t>
      </w:r>
      <w:r>
        <w:t xml:space="preserve">ятельность граждан и организаций по содержанию видов животных, которые не указаны в </w:t>
      </w:r>
      <w:hyperlink w:anchor="Par107" w:tooltip="а) к категории высокого риска: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1" w:tooltip="б) к категории среднего риска - деятельность граждан и организаций по содержанию видов животных (не указанных в подпункте &quot;а&quot; настоящего пункта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17. Объекты контроля, подлежащие отнесению в соответствии с </w:t>
      </w:r>
      <w:hyperlink w:anchor="Par106" w:tooltip="16. В рамках осуществления государственного контроля (надзора) объекты контроля относятся к следующим категориям риска:" w:history="1">
        <w:r>
          <w:rPr>
            <w:color w:val="0000FF"/>
          </w:rPr>
          <w:t>пунктом 16</w:t>
        </w:r>
      </w:hyperlink>
      <w:r>
        <w:t xml:space="preserve"> настоящего Положения к категориям высокого, среднего, низкого риска, при наличии следующих решений, вступивших в законную силу в течение 3 лет, предшествующих дате принятия решения об отнесе</w:t>
      </w:r>
      <w:r>
        <w:t>нии объекта к категории риска, подлежат отнесению к следующим соответствующим категориям: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категория чрезвычайно высокого риска: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обвинительный приговор, предусматривающий признание должностного лица организации, гражданина, осуществляющих деятельность по</w:t>
      </w:r>
      <w:r>
        <w:t xml:space="preserve"> обращению с животными, виновным в совершении преступления, предусмотренного </w:t>
      </w:r>
      <w:hyperlink r:id="rId23" w:tooltip="&quot;Уголовный кодекс Российской Федерации&quot; от 13.06.1996 N 63-ФЗ (ред. от 28.01.2022){КонсультантПлюс}" w:history="1">
        <w:r>
          <w:rPr>
            <w:color w:val="0000FF"/>
          </w:rPr>
          <w:t>статьей 245</w:t>
        </w:r>
      </w:hyperlink>
      <w:r>
        <w:t xml:space="preserve"> Уголовного кодекса Российской Федерации;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постановление о назначении административного наказания, за исключением административного наказания в виде предупреждени</w:t>
      </w:r>
      <w:r>
        <w:t xml:space="preserve">я, организации, ее должностным лицам, гражданину за совершение административного правонарушения, предусмотренного </w:t>
      </w:r>
      <w:hyperlink r:id="rId24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статьей 8.35</w:t>
        </w:r>
      </w:hyperlink>
      <w:r>
        <w:t xml:space="preserve">, </w:t>
      </w:r>
      <w:hyperlink r:id="rId25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частью 3 статьи 8.37</w:t>
        </w:r>
      </w:hyperlink>
      <w:r>
        <w:t xml:space="preserve"> Кодекса Российской Федерации об адм</w:t>
      </w:r>
      <w:r>
        <w:t>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</w:t>
      </w:r>
      <w:r>
        <w:t xml:space="preserve"> должностными лицами таких органов (в отношении деятельности, предусмотренной </w:t>
      </w:r>
      <w:hyperlink w:anchor="Par108" w:tooltip="деятельность граждан и организаций по содержанию видов животных, указанных в приложении I к Конвенции о международной торговле видами дикой фауны и флоры, находящимися под угрозой исчезновения (Вашингтон, 3 марта 1973 г.), занесенных в Красную книгу Российской Федерации с категориями статуса редкости 0, 1, 2, 3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09" w:tooltip="деятельность в области обращения с животными по содержанию и использованию диких животных, содержащихся или используемых в условиях неволи, осуществляемая в зоне экологического бедствия или в зоне чрезвычайной экологической ситуации;" w:history="1">
        <w:r>
          <w:rPr>
            <w:color w:val="0000FF"/>
          </w:rPr>
          <w:t>третьим подпункта "а" пункта 16</w:t>
        </w:r>
      </w:hyperlink>
      <w:r>
        <w:t xml:space="preserve"> настоящего Положения);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постановление</w:t>
      </w:r>
      <w:r>
        <w:t xml:space="preserve"> о назначении административного наказания, 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правонарушения, предусмотренного </w:t>
      </w:r>
      <w:hyperlink r:id="rId26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частями 2</w:t>
        </w:r>
      </w:hyperlink>
      <w:r>
        <w:t xml:space="preserve"> - </w:t>
      </w:r>
      <w:hyperlink r:id="rId27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правонарушениях, вынесенного уполномоченными органами исполнительной власти или судом на основании протокола об </w:t>
      </w:r>
      <w:r>
        <w:t>административном правонарушении, составленного должностными лицами таких органов или Федеральной службой по ветеринарному и фитосанитарному надзору;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категория значительного риска - постановление о назначении административного наказания, за исключением а</w:t>
      </w:r>
      <w:r>
        <w:t xml:space="preserve">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28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статьей 8.35</w:t>
        </w:r>
      </w:hyperlink>
      <w:r>
        <w:t xml:space="preserve">, </w:t>
      </w:r>
      <w:hyperlink r:id="rId29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частью 3 ста</w:t>
        </w:r>
        <w:r>
          <w:rPr>
            <w:color w:val="0000FF"/>
          </w:rPr>
          <w:t>тьи 8.37</w:t>
        </w:r>
      </w:hyperlink>
      <w: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</w:t>
      </w:r>
      <w:r>
        <w:t xml:space="preserve"> административном правонарушении, составленного должностными лицами таких органов (в отношении деятельности, предусмотренной </w:t>
      </w:r>
      <w:hyperlink w:anchor="Par111" w:tooltip="б) к категории среднего риска - деятельность граждан и организаций по содержанию видов животных (не указанных в подпункте &quot;а&quot; настоящего пункта)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категория умеренного риска - постановление о назначении административного наказания, за исключением административного наказания в виде предупреждения, организац</w:t>
      </w:r>
      <w:r>
        <w:t xml:space="preserve">ии, ее должностным лицам, гражданину за совершение административного правонарушения, предусмотренного </w:t>
      </w:r>
      <w:hyperlink r:id="rId30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статьей 8.35</w:t>
        </w:r>
      </w:hyperlink>
      <w:r>
        <w:t xml:space="preserve">, </w:t>
      </w:r>
      <w:hyperlink r:id="rId31" w:tooltip="&quot;Кодекс Российской Федерации об административных правонарушениях&quot; от 30.12.2001 N 195-ФЗ (ред. от 28.01.2022){КонсультантПлюс}" w:history="1">
        <w:r>
          <w:rPr>
            <w:color w:val="0000FF"/>
          </w:rPr>
          <w:t>частью 3 статьи 8.37</w:t>
        </w:r>
      </w:hyperlink>
      <w:r>
        <w:t xml:space="preserve"> Кодекса Российской Федерации об административны</w:t>
      </w:r>
      <w:r>
        <w:t>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 должностным</w:t>
      </w:r>
      <w:r>
        <w:t xml:space="preserve">и лицами таких органов в отношении деятельности, предусмотренной </w:t>
      </w:r>
      <w:hyperlink w:anchor="Par114" w:tooltip="в) к категории низкого риска - деятельность по содержанию и использованию диких животных, содержащихся или используемых в условиях неволи, содержанию и использованию животных в культурно-зрелищных целях, а также деятельность граждан и организаций по содержанию видов животных, которые не указаны в подпунктах &quot;а&quot; и &quot;б&quot; настоящего пункта.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Положения).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Учет рисков причинения вреда</w:t>
      </w:r>
      <w:r>
        <w:t xml:space="preserve"> (ущерба)</w:t>
      </w:r>
    </w:p>
    <w:p w:rsidR="00000000" w:rsidRDefault="00E346AB">
      <w:pPr>
        <w:pStyle w:val="ConsPlusTitle"/>
        <w:jc w:val="center"/>
      </w:pPr>
      <w:r>
        <w:t>охраняемым законом ценностям при проведении контрольных</w:t>
      </w:r>
    </w:p>
    <w:p w:rsidR="00000000" w:rsidRDefault="00E346AB">
      <w:pPr>
        <w:pStyle w:val="ConsPlusTitle"/>
        <w:jc w:val="center"/>
      </w:pPr>
      <w:r>
        <w:t>(надзорных) мероприятий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>18. Периодичность проведения плановых контрольных (надзорных) мероприятий в отношении объектов контроля в зависимости от присвоенной категории риска: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а) в отношении объектов контроля, отнесенных к категории чрезвычайно высокого риска, проводится одно из контрольных (надзорных) мероприятий, указанных в </w:t>
      </w:r>
      <w:hyperlink w:anchor="Par205" w:tooltip="43.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пункте 43</w:t>
        </w:r>
      </w:hyperlink>
      <w:r>
        <w:t xml:space="preserve"> настоящего Положения, с </w:t>
      </w:r>
      <w:r>
        <w:lastRenderedPageBreak/>
        <w:t>периодичностью один раз в год;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б) в отношении объектов контроля, отнесенных к категории высокого риска, проводится одно из контрольных (надзорных) мероприятий, указанных в </w:t>
      </w:r>
      <w:hyperlink w:anchor="Par205" w:tooltip="43.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пункте 43</w:t>
        </w:r>
      </w:hyperlink>
      <w:r>
        <w:t xml:space="preserve"> настоящего Положения, с периодичностью один раз в 2 года;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в отношении объектов контроля, отнес</w:t>
      </w:r>
      <w:r>
        <w:t xml:space="preserve">енных к категории значительного риска, проводится одно из контрольных (надзорных) мероприятий, указанных в </w:t>
      </w:r>
      <w:hyperlink w:anchor="Par205" w:tooltip="43.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</w:t>
        </w:r>
        <w:r>
          <w:rPr>
            <w:color w:val="0000FF"/>
          </w:rPr>
          <w:t>ункте 43</w:t>
        </w:r>
      </w:hyperlink>
      <w:r>
        <w:t xml:space="preserve"> настоящего Положения, с периодичностью один раз в 3 года;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г) в отношении объектов контроля, отнесенных к категории среднего риска, проводится одно из контрольных (надзорных) мероприятий, указанных в </w:t>
      </w:r>
      <w:hyperlink w:anchor="Par205" w:tooltip="43.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пункте 43</w:t>
        </w:r>
      </w:hyperlink>
      <w:r>
        <w:t xml:space="preserve"> настоящего Положения, с периодичностью один раз в 4 года;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д) в отношении объектов контроля, отнесенных к категории умеренного риска, проводи</w:t>
      </w:r>
      <w:r>
        <w:t xml:space="preserve">тся одно из контрольных (надзорных) мероприятий, указанных в </w:t>
      </w:r>
      <w:hyperlink w:anchor="Par205" w:tooltip="43.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пункте 43</w:t>
        </w:r>
      </w:hyperlink>
      <w:r>
        <w:t xml:space="preserve"> настоящего Положения, с периодично</w:t>
      </w:r>
      <w:r>
        <w:t>стью один раз в 5 лет.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000000" w:rsidRDefault="00E346AB">
      <w:pPr>
        <w:pStyle w:val="ConsPlusTitle"/>
        <w:jc w:val="center"/>
      </w:pPr>
      <w:r>
        <w:t>охраняемым законом ценностям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>19. При осуществлении государственного контроля (надзора) могут проводиться следующие виды профилактических мероприятий: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информирование;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обобщение прав</w:t>
      </w:r>
      <w:r>
        <w:t>оприменительной практики;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объявление предостережения;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консультирование;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профилактический визит.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Обобщение правоприменительной практики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20. Доклад о правоприменительной практике готовится ежегодно до 1 марта года, следующего за отчетным, и подлежит публич</w:t>
      </w:r>
      <w:r>
        <w:t>ному обсуждению.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21. Доклад о правоприменительной практике утверждается приказами (распоряжениями) руководителей контрольных (надзорных) органов и размещается на официальных сайтах в информационно-телекоммуникационной сети "Интернет" в срок до 1 апреля год</w:t>
      </w:r>
      <w:r>
        <w:t>а, следующего за отчетным годом.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Объявление предостережения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 xml:space="preserve">22. В случае наличия у контрольных (надзорных) органов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>
        <w:t>причинило вред (ущерб) охраняемым законом ценностям либо создало угрозу причинения вреда (ущерба) охраняемым законом ценностям, контрольные (надзорные) органы объявляют контролируемому лицу предостережение о недопустимости нарушения обязательных требований</w:t>
      </w:r>
      <w:r>
        <w:t xml:space="preserve"> (далее - предостережение) и предлагают принять меры по обеспечению соблюдения обязательных требований.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23. Контролируемое лицо вправе подать возражение в отношении предостережения в срок не позднее 30 дней со дня его получения в тот контрольный (надзорный</w:t>
      </w:r>
      <w:r>
        <w:t>) орган или его территориальное подразделение, которым объявлено предостережение.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24. Возражение в отношении предостережения рассматривается должностными лицами контрольных (надзорных) органов в течение 30 дней со дня его получения. После чего контролируем</w:t>
      </w:r>
      <w:r>
        <w:t>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Консультирование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bookmarkStart w:id="10" w:name="Par157"/>
      <w:bookmarkEnd w:id="10"/>
      <w:r>
        <w:t>25. Консультирование осуществляется должностными лицами контрольных</w:t>
      </w:r>
      <w:r>
        <w:t xml:space="preserve"> (надзорных) органов по телефону, посредством видео-конференц-связи, на личном приеме.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26.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11" w:name="Par159"/>
      <w:bookmarkEnd w:id="11"/>
      <w:r>
        <w:t>27. Консультирование осуществляется по следующим вопросам: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разъяснение </w:t>
      </w:r>
      <w:r>
        <w:t>положений нормативных правовых актов, регламентирующих порядок осуществления государственного контроля (надзора);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порядок обжалования действий или бездействия должностных лиц.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28. Письменное консультирование осуществляется по вопросам, предусмотренным </w:t>
      </w:r>
      <w:hyperlink w:anchor="Par159" w:tooltip="27. Консультирование осуществляется по следующим вопросам:" w:history="1">
        <w:r>
          <w:rPr>
            <w:color w:val="0000FF"/>
          </w:rPr>
          <w:t>пунктом 27</w:t>
        </w:r>
      </w:hyperlink>
      <w:r>
        <w:t xml:space="preserve"> настоящего Положения, в случае поступления обращения в письменной форме.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29. В случае поступления 10 и более однотипных обращений контролируемых лиц и их представ</w:t>
      </w:r>
      <w:r>
        <w:t>ителей консультирование осуществляется посредством размещения на официальном сайте контрольных (надзорных) органов, в информационно-телекоммуникационной сети "Интернет" письменного разъяснения, подписанного уполномоченным должностным лицом указанных органо</w:t>
      </w:r>
      <w:r>
        <w:t>в.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30. 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</w:t>
      </w:r>
      <w:r>
        <w:t xml:space="preserve">ным </w:t>
      </w:r>
      <w:hyperlink r:id="rId32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Профилактический визит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31. Обязательные профилактические визиты проводятся в отношении: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объектов контроля, отнесенных к к</w:t>
      </w:r>
      <w:r>
        <w:t>атегориям чрезвычайно высокого, высокого и значительного риска;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б) контролируемых лиц, приступающих к осуществлению деятельности в области обращения с животными.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32. Контрольные (надзорные) органы предлагают проведение профилактического визита лицам, прист</w:t>
      </w:r>
      <w:r>
        <w:t>упающим к осуществлению деятельности в области обращения с животными, не позднее чем в течение 1 года с момента ее начала.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33. Профилактический визит проводится должностными лицами, уполномоченными на осуществление государственного контроля (надзора), в фо</w:t>
      </w:r>
      <w:r>
        <w:t xml:space="preserve">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</w:t>
      </w:r>
      <w:r>
        <w:t>осуществления государственного надзора, проводимого в отношении объекта контроля.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34. В ходе профилактического визита контролируемое лицо информируется об обязательных </w:t>
      </w:r>
      <w:r>
        <w:lastRenderedPageBreak/>
        <w:t xml:space="preserve">требованиях, предъявляемых к его деятельности либо к используемым им объектам контроля, </w:t>
      </w:r>
      <w:r>
        <w:t>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</w:t>
      </w:r>
      <w:r>
        <w:t>рии риска.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35. В ходе профилактического визита должностными лицами, уполномоченными на осуществление государственного контроля (надзора), может осуществляться консультирование контролируемого лица в порядке, установленном </w:t>
      </w:r>
      <w:hyperlink w:anchor="Par157" w:tooltip="25. Консультирование осуществляется должностными лицами контрольных (надзорных) органов по телефону, посредством видео-конференц-связи, на личном приеме." w:history="1">
        <w:r>
          <w:rPr>
            <w:color w:val="0000FF"/>
          </w:rPr>
          <w:t>пунктом 25</w:t>
        </w:r>
      </w:hyperlink>
      <w:r>
        <w:t xml:space="preserve"> настоящего Положения, а также </w:t>
      </w:r>
      <w:hyperlink r:id="rId3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36. 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</w:t>
      </w:r>
      <w:r>
        <w:t xml:space="preserve">тронного документа, подписанного электронной подписью, в порядке, определенном законодательством Российской Федерации и установленном </w:t>
      </w:r>
      <w:hyperlink r:id="rId3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ью 4 статьи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37. Контролируемое лицо вправе отказаться от проведения обязательного профилактического визита, уведомив об этом должностное лицо,</w:t>
      </w:r>
      <w:r>
        <w:t xml:space="preserve"> уполномоченное на осуществление государственного контроля (надзора),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</w:t>
      </w:r>
      <w:r>
        <w:t>го электронной подписью, не позднее чем за 3 рабочих дня до дня его проведения.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38.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руководители (заместители рук</w:t>
      </w:r>
      <w:r>
        <w:t>оводителей) контрольных (надзорных) органов или их территориальных органов могут продлить срок проведения профилактического визита не более чем на 3 рабочих дня.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39. При профилактическом визите (обязательном профилактическом визите) контролируемым лицам не</w:t>
      </w:r>
      <w:r>
        <w:t xml:space="preserve">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>40. Плановые контр</w:t>
      </w:r>
      <w:r>
        <w:t>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41. В целях фиксации должностным лицом, уполномоченным на осуществлени</w:t>
      </w:r>
      <w:r>
        <w:t>е государственного контроля (надзора) (далее - инспектор),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</w:t>
      </w:r>
      <w:r>
        <w:t>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</w:t>
      </w:r>
      <w:r>
        <w:t>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 обязательном порядке инспектором и специалистом для доказател</w:t>
      </w:r>
      <w:r>
        <w:t>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проведения контрольного (надзорного) мероприятия в отношении контролируемого лица, которым создавались (создаются) препятс</w:t>
      </w:r>
      <w:r>
        <w:t>твия в проведении контрольного (надзорного) мероприятия, совершении контрольных (надзорных) действий;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</w:t>
      </w:r>
      <w:r>
        <w:t>дминистративное приостановление деятельности;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проведения досмотра в ходе контрольного (надзорного) мероприятия в отсутствие контролируемого лица;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проведения выездной проверки.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При досмотре, осуществляемом в присутствии контролируемого лица или его представ</w:t>
      </w:r>
      <w:r>
        <w:t>ителя, может применяться видеозапись.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</w:t>
      </w:r>
      <w:r>
        <w:t>деозаписи и использованных для этих целей технических средствах отражается в акте контрольного (надзорного) мероприятия.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Фиксация нарушений обязате</w:t>
      </w:r>
      <w:r>
        <w:t>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</w:t>
      </w:r>
      <w:r>
        <w:t>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Результаты проведения фотосъемки, аудио- и видеозаписи являю</w:t>
      </w:r>
      <w:r>
        <w:t>тся приложением к акту контрольного (надзорного) мероприятия.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</w:t>
      </w:r>
      <w:r>
        <w:t>ной тайны.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42.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 случае введения р</w:t>
      </w:r>
      <w:r>
        <w:t>ежима повышенной готовности или чрезвычайной ситуации на всей территории Российской Федерации либо на ее части;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при наличии обстоятельств, требующих безотлагательного присутствия индивидуального предпринимателя, гражданина в ином месте во время проведения </w:t>
      </w:r>
      <w:r>
        <w:t>контрольного (надзорного) мероприятия (при представлении подтверждающих документов).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Проведение контрольного (надзорного) мероприятия переносится контрольными (надзорными) органами на срок, необходимый для устранения обстоятельств, послуживших поводом для </w:t>
      </w:r>
      <w:r>
        <w:t>такого обращения индивидуального предпринимателя, гражданина.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Контрольные (надзорные) мероприятия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bookmarkStart w:id="12" w:name="Par205"/>
      <w:bookmarkEnd w:id="12"/>
      <w:r>
        <w:t>43. Государственный контроль (надзор) осуществляется посредством проведения следующих контрольных (надзорных) мероприятий: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инспекционный визит;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рейдовый 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документарная проверка;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выездная проверка.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44. Без взаимодействия с контролируемым лицом проводятся следующие контрольные (надзорные) мероприятия: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наблюдение за соблюдением обязательных требований;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выездное обследование.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44(1). Федеральная</w:t>
      </w:r>
      <w:r>
        <w:t xml:space="preserve"> служба по ветеринарному и фитосанитарному надзору и ее территориальные органы для проведения экспертизы могут привлекать экспертов и экспертные организации, включая подведомственные Федеральной службе по ветеринарному и фитосанитарному надзору и ее террит</w:t>
      </w:r>
      <w:r>
        <w:t xml:space="preserve">ориальным органам федеральные государственные бюджетные учреждения, лаборатории (испытательные центры), входящие в систему органов и организаций Государственной ветеринарной службы Российской Федерации, аккредитованные в национальной системе аккредитации, </w:t>
      </w:r>
      <w:r>
        <w:t>а также иные лаборатории, аккредитованные в национальной системе аккредитации.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 целях проведения Федеральной службой по ветеринарному и фитосанитарному надзору и ее территориальными органами государственного контроля (надзора) отбор проб (образцов), инстр</w:t>
      </w:r>
      <w:r>
        <w:t>ументальное обследование, испытание осуществляются в том числе специалистами подведомственных им федеральных государственных бюджетных учреждений.</w:t>
      </w:r>
    </w:p>
    <w:p w:rsidR="00000000" w:rsidRDefault="00E346AB">
      <w:pPr>
        <w:pStyle w:val="ConsPlusNormal"/>
        <w:jc w:val="both"/>
      </w:pPr>
      <w:r>
        <w:t xml:space="preserve">(п. 44(1) введен </w:t>
      </w:r>
      <w:hyperlink r:id="rId35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26.01.2022 N 51)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44(2).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</w:t>
      </w:r>
      <w:r>
        <w:t>еральной службе по надзору в сфере природопользования федеральные государственные бюджетные учреждения, аккредитованные в национальной системе аккредитации.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 целях проведения Федеральной службой по надзору в сфере природопользования государственного контр</w:t>
      </w:r>
      <w:r>
        <w:t>оля (надзора) отбор проб (образцов) осуществляется в том числе специалистами подведомственных ей федеральных государственных бюджетных учреждений.</w:t>
      </w:r>
    </w:p>
    <w:p w:rsidR="00000000" w:rsidRDefault="00E346AB">
      <w:pPr>
        <w:pStyle w:val="ConsPlusNormal"/>
        <w:jc w:val="both"/>
      </w:pPr>
      <w:r>
        <w:t xml:space="preserve">(п. 44(2) введен </w:t>
      </w:r>
      <w:hyperlink r:id="rId36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26.01.2022 N 51)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Инспекционный визит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45. В ходе инспекционного визита могут совершаться следующие контрольные (надзорные) действия: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опрос;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инстру</w:t>
      </w:r>
      <w:r>
        <w:t>ментальное обследование;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</w:t>
      </w:r>
      <w:r>
        <w:t>ля.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Рейдовый осмотр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46. В ходе рейдового осмотра могут совершаться следующие контрольные (надзорные) действия: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опрос;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истребование документов;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инструментальное обследование;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испытан</w:t>
      </w:r>
      <w:r>
        <w:t>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Документарная проверка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47. В ходе документарной проверки могут совершаться следующие контрольные (надзорные) действия: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истребование документов;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Выездная проверка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 xml:space="preserve">48. В ходе выездной проверки </w:t>
      </w:r>
      <w:r>
        <w:t>могут совершаться следующие контрольные (надзорные) действия: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опрос;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получение письменных объяснений;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истребование документов;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инструментальное обследование;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испытание;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49. 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</w:t>
      </w:r>
      <w:r>
        <w:t>я микропредприятия.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Выездное обследование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50. В ходе выездного обследования могут совершаться следующие контрольные (надзорные) действия: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осмотр;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инструментальное обследование (с применением видеозаписи);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испытание;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экспертиза.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По</w:t>
      </w:r>
      <w:r>
        <w:t>рядок отбора проб (образцов)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51. Отбор проб (образцов) при осуществлении рейдового осмотра, выездной проверки проводится должностными лицами контрольных (надзорных) органов в присутствии представителей контролируемых лиц.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 при осущест</w:t>
      </w:r>
      <w:r>
        <w:t>влении выездного обследования проводится должностными лицами контрольных (надзорных) органов в необходимых количествах без взаимодействия с контролируемым лицом.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 результатам отбора проб (образцов) должностным лицом контрольного (надзорного) органа соста</w:t>
      </w:r>
      <w:r>
        <w:t>вляется протокол отбора проб (образцов).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 осуществляется непосредственно в ходе проведения контрольного (надзорного) мероприятия должностными лицами, уполномоченными на осуществление государственного контроля (надзора), или специалисто</w:t>
      </w:r>
      <w:r>
        <w:t>м.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 включает в себя последовательность следующих действий: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определение (выбор) проб (образцов), подлежащих отбору, и точек отбора;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определение метода отбора пробы (образца), подготовку или обработку проб (образцов) вещества, материала или продукции в целях получения требуемой пробы (образца);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пробы (образца) и ее упаковку.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Способ упаковки отобранной пробы (образца) должен обеспе</w:t>
      </w:r>
      <w:r>
        <w:t>чивать ее (его) сохранность и пригодность для дальнейшего соответствующего исследования, испытания, экспертизы.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Непосредственно после отбора проб (образцов) на месте должностными лицами, уполномоченными на осуществление государственного контроля (надзора),</w:t>
      </w:r>
      <w:r>
        <w:t xml:space="preserve"> составляется протокол отбора проб (образцов), в котором указывают: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номер и дату составления протокола отбора проб (образцов);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порядковый номер каждой пробы (образца), если их отобрано более 2;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наименование продукции, предмета, проба (образец) которых отоб</w:t>
      </w:r>
      <w:r>
        <w:t>рана;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сорт или категорию продукции (при их наличии);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дату изготовления продукции;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наименование и место нахождения (юридический адрес) изготовителя (предприятия, название судна) или отправителя и страны;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обозначение документа, в соответствии с которым изгот</w:t>
      </w:r>
      <w:r>
        <w:t>овлена продукция (при наличии), договора (контракта);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дату и место отбора пробы;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номер партии (при его наличии);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>объем или массу партии;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номер ассортиментного знака и (или) изготовителя продукции (при их наличии);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номер единицы тары, из которой отобрана пр</w:t>
      </w:r>
      <w:r>
        <w:t>оба;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массу, объем или число проб;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срок и условия хранения пробы до испытаний;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цель направления пробы;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фамилии и должнос</w:t>
      </w:r>
      <w:r>
        <w:t>ти лиц, отобравших пробу.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Отобранные пробы (образцы) прилагаются к протоколу отбора проб (образцов).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</w:t>
      </w:r>
      <w:r>
        <w:t>елю.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</w:t>
      </w:r>
      <w:r>
        <w:t>нта, без изъятия или ухудшения качественных характеристик предметов, подвергнутых отбору проб (образцов).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</w:t>
      </w:r>
      <w:r>
        <w:t>ора проб (образцов) и методы их исследований (испытаний) и измерений.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Отбор проб (образцов) не проводится в отношении оборудования, устройств, предметов, материалов, не связанных с содержанием животных и их использованием.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V. Особенности оценки соблюдения лицензионных требований</w:t>
      </w:r>
    </w:p>
    <w:p w:rsidR="00000000" w:rsidRDefault="00E346AB">
      <w:pPr>
        <w:pStyle w:val="ConsPlusTitle"/>
        <w:jc w:val="center"/>
      </w:pPr>
      <w:r>
        <w:t>контролируемыми лицами, имеющими лицензию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r>
        <w:t xml:space="preserve">52. Оценка соблюдения лицензионных требований контролируемыми лицами, имеющими лицензию, осуществляется в соответствии с Федеральным </w:t>
      </w:r>
      <w:hyperlink r:id="rId37" w:tooltip="Федеральный закон от 04.05.2011 N 99-ФЗ (ред. от 06.12.2021, с изм. от 30.12.2021) &quot;О лицензировании отдельных видов деятельност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принимаемыми в его исполнение нормативными правовыми актами.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VI. Специальные режимы государственного контроля (надзора)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2"/>
      </w:pPr>
      <w:r>
        <w:t>Мониторинг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53. Мо</w:t>
      </w:r>
      <w:r>
        <w:t>ниторинг осуществляется в случае изъявления желания контролируемого лица.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54.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</w:t>
      </w:r>
      <w:r>
        <w:t>оля, в том числе с применением специальных технических средств, имеющих функции фотосъемки, аудио- и видеозаписи, измерения.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55. Мониторинг осуществляется посредством: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а) сбора информации о состоянии контролируемого лица с использованием систем (методов) д</w:t>
      </w:r>
      <w:r>
        <w:t>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б) анализа полученной информации и выявления рисков причинения вреда (ущерба) охраняемым </w:t>
      </w:r>
      <w:r>
        <w:lastRenderedPageBreak/>
        <w:t>законом ценностям или н</w:t>
      </w:r>
      <w:r>
        <w:t>арушения обязательных требований;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в)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56. Подключение контролируемого лица (объекта) к автоматизированным си</w:t>
      </w:r>
      <w:r>
        <w:t>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обеспечивается уполномоченными должностными л</w:t>
      </w:r>
      <w:r>
        <w:t>ицами контрольного (надзорного) органа путем установки необходимого технического оснащения и программного обеспечения.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57. Обмен документами и иной информацией осуществляется с использованием автоматизированных систем сбора и обработки данных.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58. Характер</w:t>
      </w:r>
      <w:r>
        <w:t>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59. Количество необходимого оборудования, программного обеспечен</w:t>
      </w:r>
      <w:r>
        <w:t>ия, а также места их установки определяются уполномоченными должностными лицами контрольного (надзорного) органа по согласованию с контролируемым лицом.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60. Уполномоченное должностное лицо контрольного (надзорного) органа принимает решение о прекращении ос</w:t>
      </w:r>
      <w:r>
        <w:t xml:space="preserve">уществления мониторинга в одном из случаев, предусмотренных </w:t>
      </w:r>
      <w:hyperlink r:id="rId3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"О государ</w:t>
      </w:r>
      <w:r>
        <w:t>ственном контроле (надзоре) и муниципальном контроле в Российской Федерации", а также в случае прекращения осуществления деятельности в области обращения с животными контролируемым лицом.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VII. Обжалование решений контрольных (надзорных) органов,</w:t>
      </w:r>
    </w:p>
    <w:p w:rsidR="00000000" w:rsidRDefault="00E346AB">
      <w:pPr>
        <w:pStyle w:val="ConsPlusTitle"/>
        <w:jc w:val="center"/>
      </w:pPr>
      <w:r>
        <w:t xml:space="preserve">действий </w:t>
      </w:r>
      <w:r>
        <w:t>(бездействия) их должностных лиц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 xml:space="preserve">61. Контролируемые лица имеют право направить жалобу в форме электронного документа. При этом в жалобе указывается либо наименование соответствующего контрольного (надзорного) органа, либо фамилия, имя, отчество (при наличии) соответствующего должностного </w:t>
      </w:r>
      <w:r>
        <w:t>лица, а также наименование юридического лица, фамилия, имя, отчество (при наличии) гражданина или индивидуального предпринимателя, подающего жалобу, адрес электронной почты, место нахождения или почтовый адрес, ставится подпись и дата. В подтверждение свои</w:t>
      </w:r>
      <w:r>
        <w:t>х доводов заявитель вправе приложить к жалобе документы и материалы либо их копии.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62.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надзора </w:t>
      </w:r>
      <w:r>
        <w:t>рассматривается руководителем (заместителем руководителя) указанного территориального органа либо Федеральной службой по надзору в сфере природопользования.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63. Жалоба на действия (бездействие) руководителя (заместителя руководителя) территориального орган</w:t>
      </w:r>
      <w:r>
        <w:t>а Федеральной службы по надзору в сфере природопользования рассматривается Федеральной службой по надзору в сфере природопользования.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64. В случае обжалования решений Федеральной службы по надзору в сфере природопользования, принятых ее центральным аппарат</w:t>
      </w:r>
      <w:r>
        <w:t>ом, действий (бездействия) должностных лиц Федеральной службы по надзору в сфере природопользования жалоба рассматривается руководителем Федеральной службы по надзору в сфере природопользования.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65. Жалоба на решение территориальных органов Федеральной слу</w:t>
      </w:r>
      <w:r>
        <w:t>жбы по ветеринарному и фитосанитарному надзору, действия (бездействие) их должностных лиц рассматривается руководителем (заместителем руководителя) указанного территориального органа либо Федеральной службой по ветеринарному и фитосанитарному надзору.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lastRenderedPageBreak/>
        <w:t xml:space="preserve">66. </w:t>
      </w:r>
      <w:r>
        <w:t>Жалоба на действия (бездействие) руководителя (заместителя руководителя) территориального органа Федеральной службы по ветеринарному и фитосанитарному надзору рассматривается Федеральной службой по ветеринарному и фитосанитарному надзору.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67. Жалоба на реш</w:t>
      </w:r>
      <w:r>
        <w:t>ение Федеральной службы по ветеринарному и фитосанитарному надзору, на действия (бездействие) должностных лиц центрального аппарата Федеральной службы по ветеринарному и фитосанитарному надзору рассматривается руководителем Федеральной службы по ветеринарн</w:t>
      </w:r>
      <w:r>
        <w:t>ому и фитосанитарному надзору.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68. Жалоба подлежит рассмотрению уполномоченным на рассмотрение жалобы контрольным (надзорным) органом в срок не более 20 рабочих дней со дня ее регистрации.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Title"/>
        <w:jc w:val="center"/>
        <w:outlineLvl w:val="1"/>
      </w:pPr>
      <w:r>
        <w:t>VIII. Ключевые показатели</w:t>
      </w:r>
    </w:p>
    <w:p w:rsidR="00000000" w:rsidRDefault="00E346AB">
      <w:pPr>
        <w:pStyle w:val="ConsPlusTitle"/>
        <w:jc w:val="center"/>
      </w:pPr>
      <w:r>
        <w:t>государственного контроля (надзора)</w:t>
      </w:r>
    </w:p>
    <w:p w:rsidR="00000000" w:rsidRDefault="00E346AB">
      <w:pPr>
        <w:pStyle w:val="ConsPlusNormal"/>
        <w:jc w:val="center"/>
      </w:pPr>
      <w:r>
        <w:t>(вве</w:t>
      </w:r>
      <w:r>
        <w:t xml:space="preserve">ден </w:t>
      </w:r>
      <w:hyperlink r:id="rId39" w:tooltip="Постановление Правительства РФ от 26.01.2022 N 51 &quot;О внесении изменений в Положение о федеральном государственном контроле (надзоре) в области обращения с животными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26.01.2022 N 51)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  <w:bookmarkStart w:id="13" w:name="Par344"/>
      <w:bookmarkEnd w:id="13"/>
      <w:r>
        <w:t xml:space="preserve">69. Ключевым показателем государственного контроля (надзора), </w:t>
      </w:r>
      <w:r>
        <w:t>достижение которого обеспечивается Федеральной службой по ветеринарному и фитосанитарному надзору и ее территориальными органами, является соотношение количества случаев гибели животных при их содержании и использовании в культурно-зрелищных целях и общего</w:t>
      </w:r>
      <w:r>
        <w:t xml:space="preserve"> количества животных, содержащихся и используемых в культурно-зрелищных целях (П).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Показатель, предусмотренный </w:t>
      </w:r>
      <w:hyperlink w:anchor="Par344" w:tooltip="69. Ключевым показателем государственного контроля (надзора), достижение которого обеспечивается Федеральной службой по ветеринарному и фитосанитарному надзору и ее территориальными органами, является соотношение количества случаев гибели животных при их содержании и использовании в культурно-зрелищных целях и общего количества животных, содержащихся и используемых в культурно-зрелищных целях (П)." w:history="1">
        <w:r>
          <w:rPr>
            <w:color w:val="0000FF"/>
          </w:rPr>
          <w:t>абзацем первым</w:t>
        </w:r>
      </w:hyperlink>
      <w:r>
        <w:t xml:space="preserve"> настоящего пункта (П), рассчитывается по формуле: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jc w:val="center"/>
      </w:pPr>
      <w:r>
        <w:t>П = П1 / П2,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где: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П1 - количество случаев гибели животных при их содержании и использовании в культурно-зрелищных целях за отчетный год;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П2 - общее количество жи</w:t>
      </w:r>
      <w:r>
        <w:t>вотных, содержащихся и используемых в культурно-зрелищных целях, на конец отчетного года.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Целевым (плановым) значением признается значение ключевого показателя П = 0,2 и менее.</w:t>
      </w:r>
    </w:p>
    <w:p w:rsidR="00000000" w:rsidRDefault="00E346AB">
      <w:pPr>
        <w:pStyle w:val="ConsPlusNormal"/>
        <w:spacing w:before="200"/>
        <w:ind w:firstLine="540"/>
        <w:jc w:val="both"/>
      </w:pPr>
      <w:bookmarkStart w:id="14" w:name="Par353"/>
      <w:bookmarkEnd w:id="14"/>
      <w:r>
        <w:t>70. Ключевым показателем государственного контроля (надзора), дости</w:t>
      </w:r>
      <w:r>
        <w:t xml:space="preserve">жение которого обеспечивается Федеральной службой по надзору в сфере природопользования и ее территориальными органами, является соотношение количества случаев гибели конфискованных диких животных в неволе и общего количества конфискованных диких животных </w:t>
      </w:r>
      <w:r>
        <w:t>в неволе (А).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 xml:space="preserve">Показатель, предусмотренный </w:t>
      </w:r>
      <w:hyperlink w:anchor="Par353" w:tooltip="70. Ключевым показателем государственного контроля (надзора), достижение которого обеспечивается Федеральной службой по надзору в сфере природопользования и ее территориальными органами, является соотношение количества случаев гибели конфискованных диких животных в неволе и общего количества конфискованных диких животных в неволе (А)." w:history="1">
        <w:r>
          <w:rPr>
            <w:color w:val="0000FF"/>
          </w:rPr>
          <w:t>абзацем первым</w:t>
        </w:r>
      </w:hyperlink>
      <w:r>
        <w:t xml:space="preserve"> настоящего пункта (А), рассчитывается по формуле: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jc w:val="center"/>
      </w:pPr>
      <w:r>
        <w:t>А = А1 / А2,</w:t>
      </w:r>
    </w:p>
    <w:p w:rsidR="00000000" w:rsidRDefault="00E346AB">
      <w:pPr>
        <w:pStyle w:val="ConsPlusNormal"/>
        <w:jc w:val="center"/>
      </w:pPr>
    </w:p>
    <w:p w:rsidR="00000000" w:rsidRDefault="00E346AB">
      <w:pPr>
        <w:pStyle w:val="ConsPlusNormal"/>
        <w:ind w:firstLine="540"/>
        <w:jc w:val="both"/>
      </w:pPr>
      <w:r>
        <w:t>где: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А1 - количество случаев гибели конфискованных диких животных в неволе за отчетный год;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А2 - общее количество конфискованных диких животных в неволе на конец отчетного года.</w:t>
      </w:r>
    </w:p>
    <w:p w:rsidR="00000000" w:rsidRDefault="00E346AB">
      <w:pPr>
        <w:pStyle w:val="ConsPlusNormal"/>
        <w:spacing w:before="200"/>
        <w:ind w:firstLine="540"/>
        <w:jc w:val="both"/>
      </w:pPr>
      <w:r>
        <w:t>Целевым (плановым) значением признается значение ключевого показателя А = 0,1 и мен</w:t>
      </w:r>
      <w:r>
        <w:t>ее.</w:t>
      </w:r>
    </w:p>
    <w:p w:rsidR="00000000" w:rsidRDefault="00E346AB">
      <w:pPr>
        <w:pStyle w:val="ConsPlusNormal"/>
        <w:ind w:firstLine="540"/>
        <w:jc w:val="both"/>
      </w:pPr>
    </w:p>
    <w:p w:rsidR="00000000" w:rsidRDefault="00E346AB">
      <w:pPr>
        <w:pStyle w:val="ConsPlusNormal"/>
        <w:ind w:firstLine="540"/>
        <w:jc w:val="both"/>
      </w:pPr>
    </w:p>
    <w:p w:rsidR="00E346AB" w:rsidRDefault="00E34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46AB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AB" w:rsidRDefault="00E346AB">
      <w:pPr>
        <w:spacing w:after="0" w:line="240" w:lineRule="auto"/>
      </w:pPr>
      <w:r>
        <w:separator/>
      </w:r>
    </w:p>
  </w:endnote>
  <w:endnote w:type="continuationSeparator" w:id="0">
    <w:p w:rsidR="00E346AB" w:rsidRDefault="00E3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46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46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46A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46A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51835">
            <w:rPr>
              <w:rFonts w:ascii="Tahoma" w:hAnsi="Tahoma" w:cs="Tahoma"/>
            </w:rPr>
            <w:fldChar w:fldCharType="separate"/>
          </w:r>
          <w:r w:rsidR="0065183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51835">
            <w:rPr>
              <w:rFonts w:ascii="Tahoma" w:hAnsi="Tahoma" w:cs="Tahoma"/>
            </w:rPr>
            <w:fldChar w:fldCharType="separate"/>
          </w:r>
          <w:r w:rsidR="00651835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346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AB" w:rsidRDefault="00E346AB">
      <w:pPr>
        <w:spacing w:after="0" w:line="240" w:lineRule="auto"/>
      </w:pPr>
      <w:r>
        <w:separator/>
      </w:r>
    </w:p>
  </w:footnote>
  <w:footnote w:type="continuationSeparator" w:id="0">
    <w:p w:rsidR="00E346AB" w:rsidRDefault="00E3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46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30.06.2021 N 1089</w:t>
          </w:r>
          <w:r>
            <w:rPr>
              <w:rFonts w:ascii="Tahoma" w:hAnsi="Tahoma" w:cs="Tahoma"/>
              <w:sz w:val="16"/>
              <w:szCs w:val="16"/>
            </w:rPr>
            <w:br/>
            <w:t>(ред. от 26.01.2022)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федеральном государственном контроле (надзор...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46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24.02.2022</w:t>
          </w:r>
        </w:p>
      </w:tc>
    </w:tr>
  </w:tbl>
  <w:p w:rsidR="00000000" w:rsidRDefault="00E346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46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5"/>
    <w:rsid w:val="00651835"/>
    <w:rsid w:val="00E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D5FD8C-D38F-412B-B2E0-7EE79C0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66CCB270B2655EC3FDEC92A5BDB82BC020301CB05FD8D7A45D74CEFB2637019818A165E3640F404D8B00958A82562380845IAb5N" TargetMode="External"/><Relationship Id="rId18" Type="http://schemas.openxmlformats.org/officeDocument/2006/relationships/hyperlink" Target="consultantplus://offline/ref=20D66CCB270B2655EC3FDEC92A5BDB82BC020D06CB02FD8D7A45D74CEFB263700B81D21F57660FB053CBB00D44IAbAN" TargetMode="External"/><Relationship Id="rId26" Type="http://schemas.openxmlformats.org/officeDocument/2006/relationships/hyperlink" Target="consultantplus://offline/ref=20D66CCB270B2655EC3FDEC92A5BDB82BB0A0C03C205FD8D7A45D74CEFB2637019818A13556310B950DEE65C02FD2A7E3E1647A51A71A6BEIAb3N" TargetMode="External"/><Relationship Id="rId39" Type="http://schemas.openxmlformats.org/officeDocument/2006/relationships/hyperlink" Target="consultantplus://offline/ref=20D66CCB270B2655EC3FDEC92A5BDB82BB0A0C03CE07FD8D7A45D74CEFB2637019818A13556211B157DEE65C02FD2A7E3E1647A51A71A6BEIAb3N" TargetMode="External"/><Relationship Id="rId21" Type="http://schemas.openxmlformats.org/officeDocument/2006/relationships/hyperlink" Target="consultantplus://offline/ref=20D66CCB270B2655EC3FDBC6295BDB82BE0F0003C308A087721CDB4EE8BD3C751E908A10517C11B24FD7B20FI4b4N" TargetMode="External"/><Relationship Id="rId34" Type="http://schemas.openxmlformats.org/officeDocument/2006/relationships/hyperlink" Target="consultantplus://offline/ref=20D66CCB270B2655EC3FDEC92A5BDB82BC020D06CB02FD8D7A45D74CEFB2637019818A13556310B256DEE65C02FD2A7E3E1647A51A71A6BEIAb3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D66CCB270B2655EC3FDEC92A5BDB82BC020301CB05FD8D7A45D74CEFB2637019818A13536945E11580BF0F42B6277E240A47A5I0b6N" TargetMode="External"/><Relationship Id="rId20" Type="http://schemas.openxmlformats.org/officeDocument/2006/relationships/hyperlink" Target="consultantplus://offline/ref=20D66CCB270B2655EC3FDBC6295BDB82BE0F0003C308A087721CDB4EE8BD3C751E908A10517C11B24FD7B20FI4b4N" TargetMode="External"/><Relationship Id="rId29" Type="http://schemas.openxmlformats.org/officeDocument/2006/relationships/hyperlink" Target="consultantplus://offline/ref=20D66CCB270B2655EC3FDEC92A5BDB82BB0A0C03C205FD8D7A45D74CEFB2637019818A16546118BB0584F6584BAA23623A0A59A50471IAb4N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66CCB270B2655EC3FDEC92A5BDB82BC090D01C20BFD8D7A45D74CEFB263700B81D21F57660FB053CBB00D44IAbAN" TargetMode="External"/><Relationship Id="rId24" Type="http://schemas.openxmlformats.org/officeDocument/2006/relationships/hyperlink" Target="consultantplus://offline/ref=20D66CCB270B2655EC3FDEC92A5BDB82BB0A0C03C205FD8D7A45D74CEFB2637019818A13556217B350DEE65C02FD2A7E3E1647A51A71A6BEIAb3N" TargetMode="External"/><Relationship Id="rId32" Type="http://schemas.openxmlformats.org/officeDocument/2006/relationships/hyperlink" Target="consultantplus://offline/ref=20D66CCB270B2655EC3FDEC92A5BDB82BC0B000BC903FD8D7A45D74CEFB2637019818A13556211B658DEE65C02FD2A7E3E1647A51A71A6BEIAb3N" TargetMode="External"/><Relationship Id="rId37" Type="http://schemas.openxmlformats.org/officeDocument/2006/relationships/hyperlink" Target="consultantplus://offline/ref=20D66CCB270B2655EC3FDEC92A5BDB82BC020706C80BFD8D7A45D74CEFB263700B81D21F57660FB053CBB00D44IAbAN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D66CCB270B2655EC3FDEC92A5BDB82BC020D06CB02FD8D7A45D74CEFB2637019818A13556212B258DEE65C02FD2A7E3E1647A51A71A6BEIAb3N" TargetMode="External"/><Relationship Id="rId23" Type="http://schemas.openxmlformats.org/officeDocument/2006/relationships/hyperlink" Target="consultantplus://offline/ref=20D66CCB270B2655EC3FDEC92A5BDB82BB0A0C03C307FD8D7A45D74CEFB2637019818A10566611BB0584F6584BAA23623A0A59A50471IAb4N" TargetMode="External"/><Relationship Id="rId28" Type="http://schemas.openxmlformats.org/officeDocument/2006/relationships/hyperlink" Target="consultantplus://offline/ref=20D66CCB270B2655EC3FDEC92A5BDB82BB0A0C03C205FD8D7A45D74CEFB2637019818A13556217B350DEE65C02FD2A7E3E1647A51A71A6BEIAb3N" TargetMode="External"/><Relationship Id="rId36" Type="http://schemas.openxmlformats.org/officeDocument/2006/relationships/hyperlink" Target="consultantplus://offline/ref=20D66CCB270B2655EC3FDEC92A5BDB82BB0A0C03CE07FD8D7A45D74CEFB2637019818A13556211B155DEE65C02FD2A7E3E1647A51A71A6BEIAb3N" TargetMode="External"/><Relationship Id="rId10" Type="http://schemas.openxmlformats.org/officeDocument/2006/relationships/hyperlink" Target="consultantplus://offline/ref=20D66CCB270B2655EC3FDEC92A5BDB82BC020301CB05FD8D7A45D74CEFB2637019818A135E3640F404D8B00958A82562380845IAb5N" TargetMode="External"/><Relationship Id="rId19" Type="http://schemas.openxmlformats.org/officeDocument/2006/relationships/hyperlink" Target="consultantplus://offline/ref=20D66CCB270B2655EC3FDBC6295BDB82BE0F0003C308A087721CDB4EE8BD3C751E908A10517C11B24FD7B20FI4b4N" TargetMode="External"/><Relationship Id="rId31" Type="http://schemas.openxmlformats.org/officeDocument/2006/relationships/hyperlink" Target="consultantplus://offline/ref=20D66CCB270B2655EC3FDEC92A5BDB82BB0A0C03C205FD8D7A45D74CEFB2637019818A16546118BB0584F6584BAA23623A0A59A50471IAb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D66CCB270B2655EC3FDEC92A5BDB82BB0A0C03CE07FD8D7A45D74CEFB2637019818A13556211B054DEE65C02FD2A7E3E1647A51A71A6BEIAb3N" TargetMode="External"/><Relationship Id="rId14" Type="http://schemas.openxmlformats.org/officeDocument/2006/relationships/hyperlink" Target="consultantplus://offline/ref=20D66CCB270B2655EC3FDEC92A5BDB82BB0A0C03CE07FD8D7A45D74CEFB2637019818A13556211B151DEE65C02FD2A7E3E1647A51A71A6BEIAb3N" TargetMode="External"/><Relationship Id="rId22" Type="http://schemas.openxmlformats.org/officeDocument/2006/relationships/hyperlink" Target="consultantplus://offline/ref=20D66CCB270B2655EC3FDBC6295BDB82BE0F0003C308A087721CDB4EE8BD3C751E908A10517C11B24FD7B20FI4b4N" TargetMode="External"/><Relationship Id="rId27" Type="http://schemas.openxmlformats.org/officeDocument/2006/relationships/hyperlink" Target="consultantplus://offline/ref=20D66CCB270B2655EC3FDEC92A5BDB82BB0A0C03C205FD8D7A45D74CEFB2637019818A145D6719BB0584F6584BAA23623A0A59A50471IAb4N" TargetMode="External"/><Relationship Id="rId30" Type="http://schemas.openxmlformats.org/officeDocument/2006/relationships/hyperlink" Target="consultantplus://offline/ref=20D66CCB270B2655EC3FDEC92A5BDB82BB0A0C03C205FD8D7A45D74CEFB2637019818A13556217B350DEE65C02FD2A7E3E1647A51A71A6BEIAb3N" TargetMode="External"/><Relationship Id="rId35" Type="http://schemas.openxmlformats.org/officeDocument/2006/relationships/hyperlink" Target="consultantplus://offline/ref=20D66CCB270B2655EC3FDEC92A5BDB82BB0A0C03CE07FD8D7A45D74CEFB2637019818A13556211B150DEE65C02FD2A7E3E1647A51A71A6BEIAb3N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D66CCB270B2655EC3FDEC92A5BDB82BB0A0C03CE07FD8D7A45D74CEFB2637019818A13556211B054DEE65C02FD2A7E3E1647A51A71A6BEIAb3N" TargetMode="External"/><Relationship Id="rId17" Type="http://schemas.openxmlformats.org/officeDocument/2006/relationships/hyperlink" Target="consultantplus://offline/ref=20D66CCB270B2655EC3FDEC92A5BDB82BC020301CB05FD8D7A45D74CEFB2637019818A10546945E11580BF0F42B6277E240A47A5I0b6N" TargetMode="External"/><Relationship Id="rId25" Type="http://schemas.openxmlformats.org/officeDocument/2006/relationships/hyperlink" Target="consultantplus://offline/ref=20D66CCB270B2655EC3FDEC92A5BDB82BB0A0C03C205FD8D7A45D74CEFB2637019818A16546118BB0584F6584BAA23623A0A59A50471IAb4N" TargetMode="External"/><Relationship Id="rId33" Type="http://schemas.openxmlformats.org/officeDocument/2006/relationships/hyperlink" Target="consultantplus://offline/ref=20D66CCB270B2655EC3FDEC92A5BDB82BC020D06CB02FD8D7A45D74CEFB2637019818A13556214B552DEE65C02FD2A7E3E1647A51A71A6BEIAb3N" TargetMode="External"/><Relationship Id="rId38" Type="http://schemas.openxmlformats.org/officeDocument/2006/relationships/hyperlink" Target="consultantplus://offline/ref=20D66CCB270B2655EC3FDEC92A5BDB82BC020D06CB02FD8D7A45D74CEFB2637019818A13556311B553DEE65C02FD2A7E3E1647A51A71A6BEIAb3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8702</Words>
  <Characters>49608</Characters>
  <Application>Microsoft Office Word</Application>
  <DocSecurity>2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30.06.2021 N 1089(ред. от 26.01.2022)"О федеральном государственном контроле (надзоре) в области обращения с животными"(вместе с "Положением о федеральном государственном контроле (надзоре) в области обращения с животными</vt:lpstr>
    </vt:vector>
  </TitlesOfParts>
  <Company>КонсультантПлюс Версия 4021.00.65</Company>
  <LinksUpToDate>false</LinksUpToDate>
  <CharactersWithSpaces>58194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1089(ред. от 26.01.2022)"О федеральном государственном контроле (надзоре) в области обращения с животными"(вместе с "Положением о федеральном государственном контроле (надзоре) в области обращения с животными</dc:title>
  <dc:subject/>
  <dc:creator>kalso</dc:creator>
  <cp:keywords/>
  <dc:description/>
  <cp:lastModifiedBy>kalso</cp:lastModifiedBy>
  <cp:revision>2</cp:revision>
  <dcterms:created xsi:type="dcterms:W3CDTF">2022-02-28T09:59:00Z</dcterms:created>
  <dcterms:modified xsi:type="dcterms:W3CDTF">2022-02-28T09:59:00Z</dcterms:modified>
</cp:coreProperties>
</file>