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D2" w:rsidRPr="00FA230B" w:rsidRDefault="00700FD2" w:rsidP="00FA230B">
      <w:pPr>
        <w:pStyle w:val="a4"/>
        <w:spacing w:after="0"/>
        <w:jc w:val="center"/>
        <w:rPr>
          <w:sz w:val="28"/>
          <w:szCs w:val="28"/>
        </w:rPr>
      </w:pPr>
      <w:r w:rsidRPr="00FA230B">
        <w:rPr>
          <w:rStyle w:val="a3"/>
          <w:sz w:val="28"/>
          <w:szCs w:val="28"/>
        </w:rPr>
        <w:t>Анализ обращений граждан и организаций,</w:t>
      </w:r>
    </w:p>
    <w:p w:rsidR="00700FD2" w:rsidRDefault="00700FD2" w:rsidP="00FA230B">
      <w:pPr>
        <w:pStyle w:val="a4"/>
        <w:spacing w:after="0"/>
        <w:jc w:val="center"/>
        <w:rPr>
          <w:rStyle w:val="a3"/>
          <w:sz w:val="28"/>
          <w:szCs w:val="28"/>
        </w:rPr>
      </w:pPr>
      <w:proofErr w:type="gramStart"/>
      <w:r w:rsidRPr="00FA230B">
        <w:rPr>
          <w:rStyle w:val="a3"/>
          <w:sz w:val="28"/>
          <w:szCs w:val="28"/>
        </w:rPr>
        <w:t>поступивших</w:t>
      </w:r>
      <w:proofErr w:type="gramEnd"/>
      <w:r w:rsidRPr="00FA230B">
        <w:rPr>
          <w:rStyle w:val="a3"/>
          <w:sz w:val="28"/>
          <w:szCs w:val="28"/>
        </w:rPr>
        <w:t xml:space="preserve"> в </w:t>
      </w:r>
      <w:r w:rsidR="005526B0">
        <w:rPr>
          <w:rStyle w:val="a3"/>
          <w:sz w:val="28"/>
          <w:szCs w:val="28"/>
        </w:rPr>
        <w:t xml:space="preserve">Управление </w:t>
      </w:r>
      <w:r w:rsidR="00626EC1">
        <w:rPr>
          <w:b/>
          <w:bCs/>
          <w:sz w:val="28"/>
          <w:szCs w:val="28"/>
        </w:rPr>
        <w:t>в</w:t>
      </w:r>
      <w:r w:rsidR="00463506" w:rsidRPr="00463506">
        <w:rPr>
          <w:b/>
          <w:bCs/>
          <w:sz w:val="28"/>
          <w:szCs w:val="28"/>
        </w:rPr>
        <w:t xml:space="preserve"> </w:t>
      </w:r>
      <w:r w:rsidR="001E4C1B">
        <w:rPr>
          <w:b/>
          <w:bCs/>
          <w:sz w:val="28"/>
          <w:szCs w:val="28"/>
        </w:rPr>
        <w:t>феврал</w:t>
      </w:r>
      <w:r w:rsidR="005F0EC7">
        <w:rPr>
          <w:b/>
          <w:bCs/>
          <w:sz w:val="28"/>
          <w:szCs w:val="28"/>
        </w:rPr>
        <w:t>е</w:t>
      </w:r>
      <w:r w:rsidR="002B2AC4">
        <w:rPr>
          <w:b/>
          <w:bCs/>
          <w:sz w:val="28"/>
          <w:szCs w:val="28"/>
        </w:rPr>
        <w:t xml:space="preserve"> </w:t>
      </w:r>
      <w:r w:rsidR="006207FA">
        <w:rPr>
          <w:rStyle w:val="a3"/>
          <w:sz w:val="28"/>
          <w:szCs w:val="28"/>
        </w:rPr>
        <w:t>2021</w:t>
      </w:r>
      <w:r w:rsidRPr="00FA230B">
        <w:rPr>
          <w:rStyle w:val="a3"/>
          <w:sz w:val="28"/>
          <w:szCs w:val="28"/>
        </w:rPr>
        <w:t xml:space="preserve"> год</w:t>
      </w:r>
      <w:r w:rsidR="00E66AAF">
        <w:rPr>
          <w:rStyle w:val="a3"/>
          <w:sz w:val="28"/>
          <w:szCs w:val="28"/>
        </w:rPr>
        <w:t>а</w:t>
      </w:r>
    </w:p>
    <w:p w:rsidR="00DA4CC7" w:rsidRPr="00FA230B" w:rsidRDefault="00DA4CC7" w:rsidP="00FA230B">
      <w:pPr>
        <w:pStyle w:val="a4"/>
        <w:spacing w:after="0"/>
        <w:jc w:val="center"/>
        <w:rPr>
          <w:sz w:val="28"/>
          <w:szCs w:val="28"/>
        </w:rPr>
      </w:pPr>
    </w:p>
    <w:p w:rsidR="00700FD2" w:rsidRPr="00512471" w:rsidRDefault="00700FD2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proofErr w:type="gramStart"/>
      <w:r w:rsidRPr="00512471">
        <w:rPr>
          <w:color w:val="333333"/>
          <w:sz w:val="28"/>
          <w:szCs w:val="28"/>
        </w:rPr>
        <w:t xml:space="preserve">Рассмотрение обращений граждан </w:t>
      </w:r>
      <w:r w:rsidR="001F4681" w:rsidRPr="00512471">
        <w:rPr>
          <w:color w:val="333333"/>
          <w:sz w:val="28"/>
          <w:szCs w:val="28"/>
        </w:rPr>
        <w:t xml:space="preserve">и организаций </w:t>
      </w:r>
      <w:r w:rsidR="002E7065" w:rsidRPr="00512471">
        <w:rPr>
          <w:rStyle w:val="a3"/>
          <w:b w:val="0"/>
          <w:color w:val="333333"/>
          <w:sz w:val="28"/>
          <w:szCs w:val="28"/>
        </w:rPr>
        <w:t>в Управлении Россельхознадзора по ветеринарному и фитосанитарному надзору</w:t>
      </w:r>
      <w:r w:rsidR="002E7065" w:rsidRPr="00512471">
        <w:rPr>
          <w:rStyle w:val="a3"/>
          <w:color w:val="333333"/>
          <w:sz w:val="28"/>
          <w:szCs w:val="28"/>
        </w:rPr>
        <w:br/>
      </w:r>
      <w:r w:rsidR="002E7065" w:rsidRPr="00512471">
        <w:rPr>
          <w:color w:val="333333"/>
          <w:sz w:val="28"/>
          <w:szCs w:val="28"/>
        </w:rPr>
        <w:t xml:space="preserve">(Далее – Управление) от </w:t>
      </w:r>
      <w:r w:rsidRPr="00512471">
        <w:rPr>
          <w:color w:val="333333"/>
          <w:sz w:val="28"/>
          <w:szCs w:val="28"/>
        </w:rPr>
        <w:t>02.05.2006 № 59-ФЗ «О порядке рассмотрения обращений граждан Российской Федерации», а также приказами</w:t>
      </w:r>
      <w:r w:rsidR="002E7065" w:rsidRPr="00512471">
        <w:rPr>
          <w:color w:val="333333"/>
          <w:sz w:val="28"/>
          <w:szCs w:val="28"/>
        </w:rPr>
        <w:t xml:space="preserve"> Управления</w:t>
      </w:r>
      <w:r w:rsidR="002E7065" w:rsidRPr="00512471">
        <w:rPr>
          <w:color w:val="333333"/>
          <w:sz w:val="28"/>
          <w:szCs w:val="28"/>
        </w:rPr>
        <w:br/>
        <w:t>от 23.08.2017 № 567</w:t>
      </w:r>
      <w:r w:rsidRPr="00512471">
        <w:rPr>
          <w:color w:val="333333"/>
          <w:sz w:val="28"/>
          <w:szCs w:val="28"/>
        </w:rPr>
        <w:t xml:space="preserve"> «</w:t>
      </w:r>
      <w:r w:rsidR="001F4681" w:rsidRPr="00512471">
        <w:rPr>
          <w:color w:val="333333"/>
          <w:sz w:val="28"/>
          <w:szCs w:val="28"/>
        </w:rPr>
        <w:t>Об утверждении инструкции о порядке рассмотрения обращений граждан</w:t>
      </w:r>
      <w:r w:rsidRPr="00512471">
        <w:rPr>
          <w:color w:val="333333"/>
          <w:sz w:val="28"/>
          <w:szCs w:val="28"/>
        </w:rPr>
        <w:t xml:space="preserve">» и от </w:t>
      </w:r>
      <w:r w:rsidR="002E7065" w:rsidRPr="00512471">
        <w:rPr>
          <w:color w:val="333333"/>
          <w:sz w:val="28"/>
          <w:szCs w:val="28"/>
        </w:rPr>
        <w:t>06.10.2017 № 757</w:t>
      </w:r>
      <w:r w:rsidRPr="00512471">
        <w:rPr>
          <w:color w:val="333333"/>
          <w:sz w:val="28"/>
          <w:szCs w:val="28"/>
        </w:rPr>
        <w:t xml:space="preserve"> «</w:t>
      </w:r>
      <w:r w:rsidR="001F4681" w:rsidRPr="00512471">
        <w:rPr>
          <w:color w:val="333333"/>
          <w:sz w:val="28"/>
          <w:szCs w:val="28"/>
        </w:rPr>
        <w:t>Об организации работы</w:t>
      </w:r>
      <w:r w:rsidR="001F4681" w:rsidRPr="00512471">
        <w:rPr>
          <w:color w:val="333333"/>
          <w:sz w:val="28"/>
          <w:szCs w:val="28"/>
        </w:rPr>
        <w:br/>
      </w:r>
      <w:r w:rsidR="002E7065" w:rsidRPr="00512471">
        <w:rPr>
          <w:color w:val="333333"/>
          <w:sz w:val="28"/>
          <w:szCs w:val="28"/>
        </w:rPr>
        <w:t>по рассмотрению обращений граждан</w:t>
      </w:r>
      <w:r w:rsidRPr="00512471">
        <w:rPr>
          <w:color w:val="333333"/>
          <w:sz w:val="28"/>
          <w:szCs w:val="28"/>
        </w:rPr>
        <w:t>».</w:t>
      </w:r>
      <w:proofErr w:type="gramEnd"/>
    </w:p>
    <w:p w:rsidR="005526B0" w:rsidRPr="001513CB" w:rsidRDefault="004A760D" w:rsidP="00C210FD">
      <w:pPr>
        <w:pStyle w:val="a4"/>
        <w:spacing w:after="0"/>
        <w:ind w:firstLine="709"/>
        <w:jc w:val="both"/>
        <w:rPr>
          <w:sz w:val="28"/>
          <w:szCs w:val="28"/>
        </w:rPr>
      </w:pPr>
      <w:r w:rsidRPr="001513CB">
        <w:rPr>
          <w:sz w:val="28"/>
          <w:szCs w:val="28"/>
        </w:rPr>
        <w:t xml:space="preserve">В </w:t>
      </w:r>
      <w:r w:rsidR="001E4C1B">
        <w:rPr>
          <w:sz w:val="28"/>
          <w:szCs w:val="28"/>
        </w:rPr>
        <w:t>феврал</w:t>
      </w:r>
      <w:r w:rsidR="005F0EC7">
        <w:rPr>
          <w:sz w:val="28"/>
          <w:szCs w:val="28"/>
        </w:rPr>
        <w:t>е</w:t>
      </w:r>
      <w:r w:rsidR="00626EC1" w:rsidRPr="001513CB">
        <w:rPr>
          <w:bCs/>
          <w:sz w:val="28"/>
          <w:szCs w:val="28"/>
        </w:rPr>
        <w:t xml:space="preserve"> </w:t>
      </w:r>
      <w:r w:rsidR="006207FA">
        <w:rPr>
          <w:rStyle w:val="a3"/>
          <w:b w:val="0"/>
          <w:sz w:val="28"/>
          <w:szCs w:val="28"/>
        </w:rPr>
        <w:t>2021</w:t>
      </w:r>
      <w:r w:rsidR="00626EC1" w:rsidRPr="001513CB">
        <w:rPr>
          <w:rStyle w:val="a3"/>
          <w:b w:val="0"/>
          <w:sz w:val="28"/>
          <w:szCs w:val="28"/>
        </w:rPr>
        <w:t xml:space="preserve"> года</w:t>
      </w:r>
      <w:r w:rsidR="00626EC1" w:rsidRPr="001513CB">
        <w:rPr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 xml:space="preserve">в </w:t>
      </w:r>
      <w:r w:rsidR="00BD3695" w:rsidRPr="001513CB">
        <w:rPr>
          <w:sz w:val="28"/>
          <w:szCs w:val="28"/>
        </w:rPr>
        <w:t>Управление</w:t>
      </w:r>
      <w:r w:rsidR="00700FD2" w:rsidRPr="001513CB">
        <w:rPr>
          <w:sz w:val="28"/>
          <w:szCs w:val="28"/>
        </w:rPr>
        <w:t xml:space="preserve"> поступило </w:t>
      </w:r>
      <w:r w:rsidR="00B66034">
        <w:rPr>
          <w:color w:val="000000" w:themeColor="text1"/>
          <w:sz w:val="28"/>
          <w:szCs w:val="28"/>
        </w:rPr>
        <w:t>395</w:t>
      </w:r>
      <w:r w:rsidR="00700FD2" w:rsidRPr="00321DC6">
        <w:rPr>
          <w:color w:val="000000" w:themeColor="text1"/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>обращени</w:t>
      </w:r>
      <w:r w:rsidR="00B66034">
        <w:rPr>
          <w:sz w:val="28"/>
          <w:szCs w:val="28"/>
        </w:rPr>
        <w:t>й</w:t>
      </w:r>
      <w:r w:rsidR="00E66AAF" w:rsidRPr="001513CB">
        <w:rPr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>граждан</w:t>
      </w:r>
      <w:r w:rsidR="0086144F" w:rsidRPr="001513CB">
        <w:rPr>
          <w:sz w:val="28"/>
          <w:szCs w:val="28"/>
        </w:rPr>
        <w:br/>
      </w:r>
      <w:r w:rsidR="00B5525C" w:rsidRPr="001513CB">
        <w:rPr>
          <w:sz w:val="28"/>
          <w:szCs w:val="28"/>
        </w:rPr>
        <w:t>и организаций</w:t>
      </w:r>
      <w:r w:rsidR="00700FD2" w:rsidRPr="001513CB">
        <w:rPr>
          <w:sz w:val="28"/>
          <w:szCs w:val="28"/>
        </w:rPr>
        <w:t xml:space="preserve">, что на </w:t>
      </w:r>
      <w:r w:rsidR="009747F8" w:rsidRPr="009747F8">
        <w:rPr>
          <w:color w:val="000000" w:themeColor="text1"/>
          <w:sz w:val="28"/>
          <w:szCs w:val="28"/>
        </w:rPr>
        <w:t>57</w:t>
      </w:r>
      <w:r w:rsidR="00700FD2" w:rsidRPr="009747F8">
        <w:rPr>
          <w:color w:val="000000" w:themeColor="text1"/>
          <w:sz w:val="28"/>
          <w:szCs w:val="28"/>
        </w:rPr>
        <w:t xml:space="preserve">% </w:t>
      </w:r>
      <w:r w:rsidR="00B66034" w:rsidRPr="009747F8">
        <w:rPr>
          <w:color w:val="000000" w:themeColor="text1"/>
          <w:sz w:val="28"/>
          <w:szCs w:val="28"/>
        </w:rPr>
        <w:t>бол</w:t>
      </w:r>
      <w:r w:rsidR="00D153CF" w:rsidRPr="009747F8">
        <w:rPr>
          <w:color w:val="000000" w:themeColor="text1"/>
          <w:sz w:val="28"/>
          <w:szCs w:val="28"/>
        </w:rPr>
        <w:t>ьше</w:t>
      </w:r>
      <w:r w:rsidR="00700FD2" w:rsidRPr="009747F8">
        <w:rPr>
          <w:color w:val="000000" w:themeColor="text1"/>
          <w:sz w:val="28"/>
          <w:szCs w:val="28"/>
        </w:rPr>
        <w:t xml:space="preserve"> (на </w:t>
      </w:r>
      <w:r w:rsidR="00B66034" w:rsidRPr="009747F8">
        <w:rPr>
          <w:color w:val="000000" w:themeColor="text1"/>
          <w:sz w:val="28"/>
          <w:szCs w:val="28"/>
        </w:rPr>
        <w:t>143</w:t>
      </w:r>
      <w:r w:rsidR="00700FD2" w:rsidRPr="009747F8">
        <w:rPr>
          <w:color w:val="000000" w:themeColor="text1"/>
          <w:sz w:val="28"/>
          <w:szCs w:val="28"/>
        </w:rPr>
        <w:t xml:space="preserve"> обраще</w:t>
      </w:r>
      <w:r w:rsidR="00B5525C" w:rsidRPr="009747F8">
        <w:rPr>
          <w:color w:val="000000" w:themeColor="text1"/>
          <w:sz w:val="28"/>
          <w:szCs w:val="28"/>
        </w:rPr>
        <w:t>ни</w:t>
      </w:r>
      <w:r w:rsidR="00D153CF" w:rsidRPr="009747F8">
        <w:rPr>
          <w:color w:val="000000" w:themeColor="text1"/>
          <w:sz w:val="28"/>
          <w:szCs w:val="28"/>
        </w:rPr>
        <w:t>й</w:t>
      </w:r>
      <w:r w:rsidR="00C210FD" w:rsidRPr="009747F8">
        <w:rPr>
          <w:color w:val="000000" w:themeColor="text1"/>
          <w:sz w:val="28"/>
          <w:szCs w:val="28"/>
        </w:rPr>
        <w:t>),</w:t>
      </w:r>
      <w:r w:rsidR="00C210FD" w:rsidRPr="009747F8">
        <w:rPr>
          <w:color w:val="000000" w:themeColor="text1"/>
          <w:sz w:val="28"/>
          <w:szCs w:val="28"/>
        </w:rPr>
        <w:br/>
      </w:r>
      <w:r w:rsidR="00B5525C" w:rsidRPr="009747F8">
        <w:rPr>
          <w:color w:val="000000" w:themeColor="text1"/>
          <w:sz w:val="28"/>
          <w:szCs w:val="28"/>
        </w:rPr>
        <w:t>чем</w:t>
      </w:r>
      <w:r w:rsidR="00C210FD" w:rsidRPr="009747F8">
        <w:rPr>
          <w:color w:val="000000" w:themeColor="text1"/>
          <w:sz w:val="28"/>
          <w:szCs w:val="28"/>
        </w:rPr>
        <w:t xml:space="preserve"> </w:t>
      </w:r>
      <w:r w:rsidRPr="009747F8">
        <w:rPr>
          <w:color w:val="000000" w:themeColor="text1"/>
          <w:sz w:val="28"/>
          <w:szCs w:val="28"/>
        </w:rPr>
        <w:t>в</w:t>
      </w:r>
      <w:r w:rsidR="00463506" w:rsidRPr="009747F8">
        <w:rPr>
          <w:color w:val="000000" w:themeColor="text1"/>
          <w:sz w:val="28"/>
          <w:szCs w:val="28"/>
        </w:rPr>
        <w:t xml:space="preserve"> </w:t>
      </w:r>
      <w:r w:rsidR="001E4C1B" w:rsidRPr="009747F8">
        <w:rPr>
          <w:color w:val="000000" w:themeColor="text1"/>
          <w:sz w:val="28"/>
          <w:szCs w:val="28"/>
        </w:rPr>
        <w:t>феврал</w:t>
      </w:r>
      <w:r w:rsidR="005F0EC7" w:rsidRPr="009747F8">
        <w:rPr>
          <w:color w:val="000000" w:themeColor="text1"/>
          <w:sz w:val="28"/>
          <w:szCs w:val="28"/>
        </w:rPr>
        <w:t>е</w:t>
      </w:r>
      <w:r w:rsidR="00C210FD" w:rsidRPr="009747F8">
        <w:rPr>
          <w:color w:val="000000" w:themeColor="text1"/>
          <w:sz w:val="28"/>
          <w:szCs w:val="28"/>
        </w:rPr>
        <w:t xml:space="preserve"> </w:t>
      </w:r>
      <w:r w:rsidR="00700FD2" w:rsidRPr="009747F8">
        <w:rPr>
          <w:color w:val="000000" w:themeColor="text1"/>
          <w:sz w:val="28"/>
          <w:szCs w:val="28"/>
        </w:rPr>
        <w:t>20</w:t>
      </w:r>
      <w:r w:rsidR="009747F8">
        <w:rPr>
          <w:color w:val="000000" w:themeColor="text1"/>
          <w:sz w:val="28"/>
          <w:szCs w:val="28"/>
        </w:rPr>
        <w:t>20</w:t>
      </w:r>
      <w:r w:rsidR="00700FD2" w:rsidRPr="009747F8">
        <w:rPr>
          <w:color w:val="000000" w:themeColor="text1"/>
          <w:sz w:val="28"/>
          <w:szCs w:val="28"/>
        </w:rPr>
        <w:t xml:space="preserve"> г</w:t>
      </w:r>
      <w:r w:rsidR="00A86518" w:rsidRPr="009747F8">
        <w:rPr>
          <w:color w:val="000000" w:themeColor="text1"/>
          <w:sz w:val="28"/>
          <w:szCs w:val="28"/>
        </w:rPr>
        <w:t>од</w:t>
      </w:r>
      <w:r w:rsidR="00DE08DE" w:rsidRPr="009747F8">
        <w:rPr>
          <w:color w:val="000000" w:themeColor="text1"/>
          <w:sz w:val="28"/>
          <w:szCs w:val="28"/>
        </w:rPr>
        <w:t xml:space="preserve">а </w:t>
      </w:r>
      <w:r w:rsidR="008D53E7" w:rsidRPr="009747F8">
        <w:rPr>
          <w:color w:val="000000" w:themeColor="text1"/>
          <w:sz w:val="28"/>
          <w:szCs w:val="28"/>
        </w:rPr>
        <w:t xml:space="preserve">и на </w:t>
      </w:r>
      <w:r w:rsidR="009747F8" w:rsidRPr="009747F8">
        <w:rPr>
          <w:color w:val="000000" w:themeColor="text1"/>
          <w:sz w:val="28"/>
          <w:szCs w:val="28"/>
        </w:rPr>
        <w:t>618</w:t>
      </w:r>
      <w:r w:rsidR="002A6436" w:rsidRPr="009747F8">
        <w:rPr>
          <w:color w:val="000000" w:themeColor="text1"/>
          <w:sz w:val="28"/>
          <w:szCs w:val="28"/>
        </w:rPr>
        <w:t>%</w:t>
      </w:r>
      <w:r w:rsidR="008D53E7" w:rsidRPr="001513CB">
        <w:rPr>
          <w:sz w:val="28"/>
          <w:szCs w:val="28"/>
        </w:rPr>
        <w:t xml:space="preserve"> </w:t>
      </w:r>
      <w:r w:rsidR="00C210FD" w:rsidRPr="001513CB">
        <w:rPr>
          <w:sz w:val="28"/>
          <w:szCs w:val="28"/>
        </w:rPr>
        <w:t>бол</w:t>
      </w:r>
      <w:r w:rsidR="002C6A4C" w:rsidRPr="001513CB">
        <w:rPr>
          <w:sz w:val="28"/>
          <w:szCs w:val="28"/>
        </w:rPr>
        <w:t>ьше</w:t>
      </w:r>
      <w:r w:rsidR="00B5525C" w:rsidRPr="001513CB">
        <w:rPr>
          <w:sz w:val="28"/>
          <w:szCs w:val="28"/>
        </w:rPr>
        <w:t xml:space="preserve">, чем </w:t>
      </w:r>
      <w:r w:rsidRPr="001513CB">
        <w:rPr>
          <w:sz w:val="28"/>
          <w:szCs w:val="28"/>
        </w:rPr>
        <w:t>в</w:t>
      </w:r>
      <w:r w:rsidR="00463506" w:rsidRPr="001513CB">
        <w:rPr>
          <w:sz w:val="28"/>
          <w:szCs w:val="28"/>
        </w:rPr>
        <w:t xml:space="preserve"> </w:t>
      </w:r>
      <w:r w:rsidR="001E4C1B">
        <w:rPr>
          <w:sz w:val="28"/>
          <w:szCs w:val="28"/>
        </w:rPr>
        <w:t>феврал</w:t>
      </w:r>
      <w:r w:rsidR="005F0EC7">
        <w:rPr>
          <w:sz w:val="28"/>
          <w:szCs w:val="28"/>
        </w:rPr>
        <w:t>е</w:t>
      </w:r>
      <w:r w:rsidR="00463506" w:rsidRPr="001513CB">
        <w:rPr>
          <w:sz w:val="28"/>
          <w:szCs w:val="28"/>
        </w:rPr>
        <w:t xml:space="preserve"> </w:t>
      </w:r>
      <w:r w:rsidR="00DE08DE" w:rsidRPr="001513CB">
        <w:rPr>
          <w:sz w:val="28"/>
          <w:szCs w:val="28"/>
        </w:rPr>
        <w:t>201</w:t>
      </w:r>
      <w:r w:rsidR="009747F8">
        <w:rPr>
          <w:sz w:val="28"/>
          <w:szCs w:val="28"/>
        </w:rPr>
        <w:t>9</w:t>
      </w:r>
      <w:r w:rsidR="00B5525C" w:rsidRPr="001513CB">
        <w:rPr>
          <w:sz w:val="28"/>
          <w:szCs w:val="28"/>
        </w:rPr>
        <w:t xml:space="preserve"> го</w:t>
      </w:r>
      <w:r w:rsidR="0098566C" w:rsidRPr="001513CB">
        <w:rPr>
          <w:sz w:val="28"/>
          <w:szCs w:val="28"/>
        </w:rPr>
        <w:t>д</w:t>
      </w:r>
      <w:r w:rsidR="00DE08DE" w:rsidRPr="001513CB">
        <w:rPr>
          <w:sz w:val="28"/>
          <w:szCs w:val="28"/>
        </w:rPr>
        <w:t>а</w:t>
      </w:r>
      <w:r w:rsidR="00463506" w:rsidRPr="001513CB">
        <w:rPr>
          <w:sz w:val="28"/>
          <w:szCs w:val="28"/>
        </w:rPr>
        <w:br/>
      </w:r>
      <w:r w:rsidR="008D53E7" w:rsidRPr="001513CB">
        <w:rPr>
          <w:sz w:val="28"/>
          <w:szCs w:val="28"/>
        </w:rPr>
        <w:t>(на</w:t>
      </w:r>
      <w:r w:rsidR="00FA62AE" w:rsidRPr="00321DC6">
        <w:rPr>
          <w:color w:val="000000" w:themeColor="text1"/>
          <w:sz w:val="28"/>
          <w:szCs w:val="28"/>
        </w:rPr>
        <w:t xml:space="preserve"> </w:t>
      </w:r>
      <w:r w:rsidR="00B66034">
        <w:rPr>
          <w:color w:val="000000" w:themeColor="text1"/>
          <w:sz w:val="28"/>
          <w:szCs w:val="28"/>
        </w:rPr>
        <w:t>340</w:t>
      </w:r>
      <w:r w:rsidR="008D53E7" w:rsidRPr="001513CB">
        <w:rPr>
          <w:sz w:val="28"/>
          <w:szCs w:val="28"/>
        </w:rPr>
        <w:t xml:space="preserve"> обращени</w:t>
      </w:r>
      <w:r w:rsidR="00B66034">
        <w:rPr>
          <w:sz w:val="28"/>
          <w:szCs w:val="28"/>
        </w:rPr>
        <w:t>й</w:t>
      </w:r>
      <w:r w:rsidR="003B5E4A" w:rsidRPr="001513CB">
        <w:rPr>
          <w:sz w:val="28"/>
          <w:szCs w:val="28"/>
        </w:rPr>
        <w:t>).</w:t>
      </w:r>
    </w:p>
    <w:p w:rsidR="005526B0" w:rsidRDefault="005526B0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5526B0" w:rsidRDefault="00A16661" w:rsidP="005526B0">
      <w:pPr>
        <w:pStyle w:val="a4"/>
        <w:spacing w:after="0"/>
        <w:jc w:val="both"/>
        <w:rPr>
          <w:color w:val="333333"/>
          <w:sz w:val="28"/>
          <w:szCs w:val="28"/>
        </w:rPr>
      </w:pPr>
      <w:r w:rsidRPr="0086144F">
        <w:rPr>
          <w:noProof/>
          <w:sz w:val="28"/>
          <w:szCs w:val="28"/>
        </w:rPr>
        <w:drawing>
          <wp:inline distT="0" distB="0" distL="0" distR="0">
            <wp:extent cx="6115050" cy="33623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526B0" w:rsidRPr="005526B0">
        <w:rPr>
          <w:color w:val="333333"/>
          <w:sz w:val="28"/>
          <w:szCs w:val="28"/>
        </w:rPr>
        <w:t xml:space="preserve"> </w:t>
      </w:r>
    </w:p>
    <w:p w:rsidR="005526B0" w:rsidRPr="00E00702" w:rsidRDefault="005526B0" w:rsidP="005526B0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00702">
        <w:rPr>
          <w:color w:val="000000" w:themeColor="text1"/>
          <w:sz w:val="28"/>
          <w:szCs w:val="28"/>
        </w:rPr>
        <w:t xml:space="preserve">В том числе </w:t>
      </w:r>
      <w:r w:rsidR="006074CA" w:rsidRPr="00E00702">
        <w:rPr>
          <w:color w:val="000000" w:themeColor="text1"/>
          <w:sz w:val="28"/>
          <w:szCs w:val="28"/>
        </w:rPr>
        <w:t xml:space="preserve">за отчетный период </w:t>
      </w:r>
      <w:r w:rsidRPr="00E00702">
        <w:rPr>
          <w:color w:val="000000" w:themeColor="text1"/>
          <w:sz w:val="28"/>
          <w:szCs w:val="28"/>
        </w:rPr>
        <w:t>в Управление поступило:</w:t>
      </w:r>
    </w:p>
    <w:p w:rsidR="00700FD2" w:rsidRPr="00E00702" w:rsidRDefault="003D6A9B" w:rsidP="00D31B70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00702">
        <w:rPr>
          <w:color w:val="000000" w:themeColor="text1"/>
          <w:sz w:val="28"/>
          <w:szCs w:val="28"/>
        </w:rPr>
        <w:t>из Россельхознадзора –</w:t>
      </w:r>
      <w:r w:rsidR="00D362AD">
        <w:rPr>
          <w:color w:val="000000" w:themeColor="text1"/>
          <w:sz w:val="28"/>
          <w:szCs w:val="28"/>
        </w:rPr>
        <w:t>18</w:t>
      </w:r>
      <w:r w:rsidR="00976248">
        <w:rPr>
          <w:color w:val="000000" w:themeColor="text1"/>
          <w:sz w:val="28"/>
          <w:szCs w:val="28"/>
        </w:rPr>
        <w:t xml:space="preserve"> </w:t>
      </w:r>
      <w:r w:rsidR="00940340" w:rsidRPr="00E00702">
        <w:rPr>
          <w:color w:val="000000" w:themeColor="text1"/>
          <w:sz w:val="28"/>
          <w:szCs w:val="28"/>
        </w:rPr>
        <w:t>обращени</w:t>
      </w:r>
      <w:r w:rsidR="00C00575" w:rsidRPr="00E00702">
        <w:rPr>
          <w:color w:val="000000" w:themeColor="text1"/>
          <w:sz w:val="28"/>
          <w:szCs w:val="28"/>
        </w:rPr>
        <w:t>й</w:t>
      </w:r>
      <w:r w:rsidR="00D31B70" w:rsidRPr="00E00702">
        <w:rPr>
          <w:color w:val="000000" w:themeColor="text1"/>
          <w:sz w:val="28"/>
          <w:szCs w:val="28"/>
        </w:rPr>
        <w:t>;</w:t>
      </w:r>
    </w:p>
    <w:p w:rsidR="00D31B70" w:rsidRPr="00BD689E" w:rsidRDefault="00377B68" w:rsidP="00D31B7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электронную приемную </w:t>
      </w:r>
      <w:r w:rsidR="00D31B70" w:rsidRPr="00BD689E">
        <w:rPr>
          <w:sz w:val="28"/>
          <w:szCs w:val="28"/>
        </w:rPr>
        <w:t>Управления –</w:t>
      </w:r>
      <w:r w:rsidR="003D25E7" w:rsidRPr="00BD689E">
        <w:rPr>
          <w:sz w:val="28"/>
          <w:szCs w:val="28"/>
        </w:rPr>
        <w:t xml:space="preserve"> </w:t>
      </w:r>
      <w:r w:rsidR="00D362AD">
        <w:rPr>
          <w:sz w:val="28"/>
          <w:szCs w:val="28"/>
        </w:rPr>
        <w:t>58</w:t>
      </w:r>
      <w:r w:rsidR="003D25E7" w:rsidRPr="00BD689E">
        <w:rPr>
          <w:sz w:val="28"/>
          <w:szCs w:val="28"/>
        </w:rPr>
        <w:t xml:space="preserve"> </w:t>
      </w:r>
      <w:r w:rsidR="00050C86" w:rsidRPr="00BD689E">
        <w:rPr>
          <w:sz w:val="28"/>
          <w:szCs w:val="28"/>
        </w:rPr>
        <w:t>обращени</w:t>
      </w:r>
      <w:r w:rsidR="00963711">
        <w:rPr>
          <w:sz w:val="28"/>
          <w:szCs w:val="28"/>
        </w:rPr>
        <w:t>я</w:t>
      </w:r>
      <w:r w:rsidR="00D31B70" w:rsidRPr="00BD689E">
        <w:rPr>
          <w:sz w:val="28"/>
          <w:szCs w:val="28"/>
        </w:rPr>
        <w:t>;</w:t>
      </w:r>
    </w:p>
    <w:p w:rsidR="00700FD2" w:rsidRPr="00BD689E" w:rsidRDefault="00C50446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D689E">
        <w:rPr>
          <w:sz w:val="28"/>
          <w:szCs w:val="28"/>
        </w:rPr>
        <w:t xml:space="preserve">на адрес электронной почты Управления </w:t>
      </w:r>
      <w:r w:rsidR="00700FD2" w:rsidRPr="00BD689E">
        <w:rPr>
          <w:sz w:val="28"/>
          <w:szCs w:val="28"/>
        </w:rPr>
        <w:t>–</w:t>
      </w:r>
      <w:r w:rsidR="003D25E7" w:rsidRPr="00BD689E">
        <w:rPr>
          <w:sz w:val="28"/>
          <w:szCs w:val="28"/>
        </w:rPr>
        <w:t xml:space="preserve"> </w:t>
      </w:r>
      <w:r w:rsidR="00D362AD">
        <w:rPr>
          <w:sz w:val="28"/>
          <w:szCs w:val="28"/>
        </w:rPr>
        <w:t>280</w:t>
      </w:r>
      <w:r w:rsidR="003D25E7" w:rsidRPr="00BD689E">
        <w:rPr>
          <w:sz w:val="28"/>
          <w:szCs w:val="28"/>
        </w:rPr>
        <w:t xml:space="preserve"> </w:t>
      </w:r>
      <w:r w:rsidR="00050C86" w:rsidRPr="00BD689E">
        <w:rPr>
          <w:sz w:val="28"/>
          <w:szCs w:val="28"/>
        </w:rPr>
        <w:t>обращени</w:t>
      </w:r>
      <w:r w:rsidR="00963711">
        <w:rPr>
          <w:sz w:val="28"/>
          <w:szCs w:val="28"/>
        </w:rPr>
        <w:t>я</w:t>
      </w:r>
      <w:r w:rsidR="00700FD2" w:rsidRPr="00BD689E">
        <w:rPr>
          <w:sz w:val="28"/>
          <w:szCs w:val="28"/>
        </w:rPr>
        <w:t>.</w:t>
      </w:r>
    </w:p>
    <w:p w:rsidR="00B6634B" w:rsidRPr="00A926BA" w:rsidRDefault="002E096E" w:rsidP="00744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общего числа поступивши</w:t>
      </w:r>
      <w:r w:rsidR="0055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4A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E4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5F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63506" w:rsidRPr="00463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07FA">
        <w:rPr>
          <w:rStyle w:val="a3"/>
          <w:rFonts w:ascii="Times New Roman" w:hAnsi="Times New Roman" w:cs="Times New Roman"/>
          <w:b w:val="0"/>
          <w:sz w:val="28"/>
          <w:szCs w:val="28"/>
        </w:rPr>
        <w:t>2021</w:t>
      </w:r>
      <w:r w:rsidR="00B86068" w:rsidRPr="00B8606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86068" w:rsidRPr="0086144F">
        <w:rPr>
          <w:sz w:val="28"/>
          <w:szCs w:val="28"/>
        </w:rPr>
        <w:t xml:space="preserve"> </w:t>
      </w:r>
      <w:r w:rsidR="004A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 граждан</w:t>
      </w:r>
      <w:r w:rsidR="004A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организаций по вопросам в </w:t>
      </w:r>
      <w:r w:rsidR="00744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ветеринарии составили –</w:t>
      </w:r>
      <w:r w:rsidR="00744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74FD">
        <w:rPr>
          <w:rFonts w:ascii="Times New Roman" w:hAnsi="Times New Roman" w:cs="Times New Roman"/>
          <w:sz w:val="28"/>
          <w:szCs w:val="28"/>
        </w:rPr>
        <w:t>46,1</w:t>
      </w:r>
      <w:r w:rsidR="000869D4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 воп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фитосанитарного надзора –</w:t>
      </w:r>
      <w:r w:rsidR="00D122C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D122C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EF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1EF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22C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616B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 –</w:t>
      </w:r>
      <w:r w:rsidR="000616B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49,9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E5664A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11AA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2C12D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комплексным вопросам – 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поступало;</w:t>
      </w:r>
      <w:r w:rsidR="008132C7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F63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– 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57234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F63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4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F74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0F63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1C2" w:rsidRDefault="002131C2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1C2" w:rsidRDefault="002131C2" w:rsidP="00AD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38850" cy="48291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6CD" w:rsidRDefault="00E806CD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446" w:rsidRPr="005520DD" w:rsidRDefault="00C50446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 поступившие в Управление обращения граждан даны мотивированные ответы, по вопросам, относящимся к сфере компетенции ведомства, приняты необходимые меры.</w:t>
      </w:r>
    </w:p>
    <w:p w:rsidR="00C50446" w:rsidRPr="005520DD" w:rsidRDefault="00C50446" w:rsidP="00FF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в которых содержались вопросы, не относящиеся</w:t>
      </w: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компетенции Управления, направлялись по принадлежности</w:t>
      </w: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со статьей 8 Федерального закона от 02.05.2006 № 59-ФЗ</w:t>
      </w: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Федерации». </w:t>
      </w:r>
    </w:p>
    <w:p w:rsidR="00700FD2" w:rsidRPr="00B270C1" w:rsidRDefault="00961CB4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 xml:space="preserve">Всего из поступивших </w:t>
      </w:r>
      <w:r w:rsidR="004A760D" w:rsidRPr="00B270C1">
        <w:rPr>
          <w:sz w:val="28"/>
          <w:szCs w:val="28"/>
        </w:rPr>
        <w:t xml:space="preserve">в </w:t>
      </w:r>
      <w:r w:rsidR="001E4C1B">
        <w:rPr>
          <w:sz w:val="28"/>
          <w:szCs w:val="28"/>
        </w:rPr>
        <w:t>феврал</w:t>
      </w:r>
      <w:r w:rsidR="000F0E04">
        <w:rPr>
          <w:sz w:val="28"/>
          <w:szCs w:val="28"/>
        </w:rPr>
        <w:t>е</w:t>
      </w:r>
      <w:r w:rsidR="000F0E04" w:rsidRPr="001513CB">
        <w:rPr>
          <w:bCs/>
          <w:sz w:val="28"/>
          <w:szCs w:val="28"/>
        </w:rPr>
        <w:t xml:space="preserve"> </w:t>
      </w:r>
      <w:r w:rsidR="006207FA">
        <w:rPr>
          <w:rStyle w:val="a3"/>
          <w:b w:val="0"/>
          <w:sz w:val="28"/>
          <w:szCs w:val="28"/>
        </w:rPr>
        <w:t>2021</w:t>
      </w:r>
      <w:r w:rsidR="000F0E04" w:rsidRPr="001513CB">
        <w:rPr>
          <w:rStyle w:val="a3"/>
          <w:b w:val="0"/>
          <w:sz w:val="28"/>
          <w:szCs w:val="28"/>
        </w:rPr>
        <w:t xml:space="preserve"> года</w:t>
      </w:r>
      <w:r w:rsidR="000F0E04" w:rsidRPr="001513CB">
        <w:rPr>
          <w:sz w:val="28"/>
          <w:szCs w:val="28"/>
        </w:rPr>
        <w:t xml:space="preserve"> </w:t>
      </w:r>
      <w:r w:rsidR="00700FD2" w:rsidRPr="00B270C1">
        <w:rPr>
          <w:sz w:val="28"/>
          <w:szCs w:val="28"/>
        </w:rPr>
        <w:t>обращений ра</w:t>
      </w:r>
      <w:r w:rsidR="000F0E04">
        <w:rPr>
          <w:sz w:val="28"/>
          <w:szCs w:val="28"/>
        </w:rPr>
        <w:t xml:space="preserve">ссмотрено </w:t>
      </w:r>
      <w:r w:rsidR="00900FD8">
        <w:rPr>
          <w:sz w:val="28"/>
          <w:szCs w:val="28"/>
        </w:rPr>
        <w:t>253</w:t>
      </w:r>
      <w:r w:rsidR="00342F0D" w:rsidRPr="00B270C1">
        <w:rPr>
          <w:sz w:val="28"/>
          <w:szCs w:val="28"/>
        </w:rPr>
        <w:t>, остальные</w:t>
      </w:r>
      <w:r w:rsidR="00405A39">
        <w:rPr>
          <w:sz w:val="28"/>
          <w:szCs w:val="28"/>
        </w:rPr>
        <w:t xml:space="preserve"> </w:t>
      </w:r>
      <w:r w:rsidR="00900FD8">
        <w:rPr>
          <w:sz w:val="28"/>
          <w:szCs w:val="28"/>
        </w:rPr>
        <w:t>142</w:t>
      </w:r>
      <w:r w:rsidR="008254CA" w:rsidRPr="00B270C1">
        <w:rPr>
          <w:sz w:val="28"/>
          <w:szCs w:val="28"/>
        </w:rPr>
        <w:t xml:space="preserve"> </w:t>
      </w:r>
      <w:r w:rsidR="00700FD2" w:rsidRPr="00B270C1">
        <w:rPr>
          <w:sz w:val="28"/>
          <w:szCs w:val="28"/>
        </w:rPr>
        <w:t>находятся на рассмотрении.</w:t>
      </w:r>
    </w:p>
    <w:p w:rsidR="00700FD2" w:rsidRPr="00B270C1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Анализ обращений показал, что:</w:t>
      </w:r>
    </w:p>
    <w:p w:rsidR="007B71BD" w:rsidRPr="00B270C1" w:rsidRDefault="007B71BD" w:rsidP="007B71BD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 xml:space="preserve">Дан ответ по существу (разъяснено) </w:t>
      </w:r>
      <w:r w:rsidR="00E00702">
        <w:rPr>
          <w:sz w:val="28"/>
          <w:szCs w:val="28"/>
        </w:rPr>
        <w:t xml:space="preserve">– </w:t>
      </w:r>
      <w:r w:rsidR="00900FD8">
        <w:rPr>
          <w:sz w:val="28"/>
          <w:szCs w:val="28"/>
        </w:rPr>
        <w:t>73</w:t>
      </w:r>
      <w:r w:rsidR="00964356" w:rsidRPr="00B270C1">
        <w:rPr>
          <w:sz w:val="28"/>
          <w:szCs w:val="28"/>
        </w:rPr>
        <w:t>;</w:t>
      </w:r>
    </w:p>
    <w:p w:rsidR="00700FD2" w:rsidRPr="00B270C1" w:rsidRDefault="0016109B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Дан ответ по существу</w:t>
      </w:r>
      <w:r w:rsidR="00700FD2" w:rsidRPr="00B270C1">
        <w:rPr>
          <w:sz w:val="28"/>
          <w:szCs w:val="28"/>
        </w:rPr>
        <w:t xml:space="preserve"> (виновные привлечены к ответственности) –</w:t>
      </w:r>
      <w:r w:rsidR="0046565D" w:rsidRPr="00B270C1">
        <w:rPr>
          <w:sz w:val="28"/>
          <w:szCs w:val="28"/>
        </w:rPr>
        <w:t xml:space="preserve"> </w:t>
      </w:r>
      <w:r w:rsidR="00900FD8">
        <w:rPr>
          <w:sz w:val="28"/>
          <w:szCs w:val="28"/>
        </w:rPr>
        <w:t>89</w:t>
      </w:r>
      <w:r w:rsidR="00700FD2" w:rsidRPr="00B270C1">
        <w:rPr>
          <w:sz w:val="28"/>
          <w:szCs w:val="28"/>
        </w:rPr>
        <w:t>;</w:t>
      </w:r>
    </w:p>
    <w:p w:rsidR="00700FD2" w:rsidRPr="00B270C1" w:rsidRDefault="0016109B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Дан ответ по существу (не поддержано)</w:t>
      </w:r>
      <w:r w:rsidR="00700FD2" w:rsidRPr="00B270C1">
        <w:rPr>
          <w:sz w:val="28"/>
          <w:szCs w:val="28"/>
        </w:rPr>
        <w:t xml:space="preserve"> –</w:t>
      </w:r>
      <w:r w:rsidR="00146C1A" w:rsidRPr="00B270C1">
        <w:rPr>
          <w:sz w:val="28"/>
          <w:szCs w:val="28"/>
        </w:rPr>
        <w:t xml:space="preserve"> </w:t>
      </w:r>
      <w:r w:rsidR="000F0E04">
        <w:rPr>
          <w:sz w:val="28"/>
          <w:szCs w:val="28"/>
        </w:rPr>
        <w:t>0</w:t>
      </w:r>
      <w:r w:rsidR="00700FD2" w:rsidRPr="00B270C1">
        <w:rPr>
          <w:sz w:val="28"/>
          <w:szCs w:val="28"/>
        </w:rPr>
        <w:t>;</w:t>
      </w:r>
    </w:p>
    <w:p w:rsidR="00700FD2" w:rsidRPr="00B270C1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Направлено по принадлежности в другие организации</w:t>
      </w:r>
      <w:r w:rsidR="00992B64" w:rsidRPr="00B270C1">
        <w:rPr>
          <w:sz w:val="28"/>
          <w:szCs w:val="28"/>
        </w:rPr>
        <w:t xml:space="preserve"> </w:t>
      </w:r>
      <w:r w:rsidRPr="00B270C1">
        <w:rPr>
          <w:sz w:val="28"/>
          <w:szCs w:val="28"/>
        </w:rPr>
        <w:t xml:space="preserve">– </w:t>
      </w:r>
      <w:r w:rsidR="00900FD8">
        <w:rPr>
          <w:sz w:val="28"/>
          <w:szCs w:val="28"/>
        </w:rPr>
        <w:t>83</w:t>
      </w:r>
      <w:r w:rsidR="008254CA" w:rsidRPr="00B270C1">
        <w:rPr>
          <w:sz w:val="28"/>
          <w:szCs w:val="28"/>
        </w:rPr>
        <w:t>;</w:t>
      </w:r>
    </w:p>
    <w:p w:rsidR="008254CA" w:rsidRPr="00B270C1" w:rsidRDefault="008F3E5A" w:rsidP="00A13FA1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Оставлено без ответа</w:t>
      </w:r>
      <w:r w:rsidR="00F71726">
        <w:rPr>
          <w:sz w:val="28"/>
          <w:szCs w:val="28"/>
        </w:rPr>
        <w:t xml:space="preserve"> </w:t>
      </w:r>
      <w:r w:rsidR="008254CA" w:rsidRPr="00B270C1">
        <w:rPr>
          <w:sz w:val="28"/>
          <w:szCs w:val="28"/>
        </w:rPr>
        <w:t>–</w:t>
      </w:r>
      <w:r w:rsidR="00FE5F15">
        <w:rPr>
          <w:sz w:val="28"/>
          <w:szCs w:val="28"/>
        </w:rPr>
        <w:t xml:space="preserve"> </w:t>
      </w:r>
      <w:r w:rsidR="00900FD8">
        <w:rPr>
          <w:sz w:val="28"/>
          <w:szCs w:val="28"/>
        </w:rPr>
        <w:t>8</w:t>
      </w:r>
      <w:r w:rsidR="0095782F">
        <w:rPr>
          <w:sz w:val="28"/>
          <w:szCs w:val="28"/>
        </w:rPr>
        <w:t xml:space="preserve"> (отказ в рассмотрении</w:t>
      </w:r>
      <w:r w:rsidR="00900FD8">
        <w:rPr>
          <w:sz w:val="28"/>
          <w:szCs w:val="28"/>
        </w:rPr>
        <w:t xml:space="preserve"> и др.</w:t>
      </w:r>
      <w:r w:rsidR="0095782F">
        <w:rPr>
          <w:sz w:val="28"/>
          <w:szCs w:val="28"/>
        </w:rPr>
        <w:t>)</w:t>
      </w:r>
      <w:r w:rsidR="000F0E04">
        <w:rPr>
          <w:sz w:val="28"/>
          <w:szCs w:val="28"/>
        </w:rPr>
        <w:t>.</w:t>
      </w:r>
    </w:p>
    <w:p w:rsidR="00F47C73" w:rsidRPr="00107DD1" w:rsidRDefault="00F47C73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F47C73" w:rsidRPr="00A031A6" w:rsidRDefault="00F47C73" w:rsidP="00AD4348">
      <w:pPr>
        <w:pStyle w:val="a4"/>
        <w:spacing w:after="0"/>
        <w:jc w:val="both"/>
        <w:rPr>
          <w:rFonts w:asciiTheme="minorHAnsi" w:hAnsiTheme="minorHAnsi"/>
          <w:sz w:val="36"/>
          <w:szCs w:val="36"/>
        </w:rPr>
      </w:pPr>
    </w:p>
    <w:p w:rsidR="00626EC1" w:rsidRPr="00626EC1" w:rsidRDefault="00A031A6" w:rsidP="00626EC1">
      <w:pPr>
        <w:pStyle w:val="a4"/>
        <w:spacing w:after="0"/>
        <w:jc w:val="center"/>
        <w:rPr>
          <w:b/>
          <w:sz w:val="28"/>
          <w:szCs w:val="28"/>
        </w:rPr>
      </w:pPr>
      <w:r w:rsidRPr="00626EC1">
        <w:rPr>
          <w:b/>
          <w:sz w:val="28"/>
          <w:szCs w:val="28"/>
        </w:rPr>
        <w:t>Статус обработки обращений</w:t>
      </w:r>
      <w:r w:rsidR="00626EC1">
        <w:rPr>
          <w:b/>
          <w:sz w:val="28"/>
          <w:szCs w:val="28"/>
        </w:rPr>
        <w:t xml:space="preserve"> </w:t>
      </w:r>
      <w:r w:rsidR="00626EC1" w:rsidRPr="00626EC1">
        <w:rPr>
          <w:b/>
          <w:bCs/>
          <w:sz w:val="28"/>
          <w:szCs w:val="28"/>
        </w:rPr>
        <w:t>граждан</w:t>
      </w:r>
    </w:p>
    <w:p w:rsidR="000E2BA2" w:rsidRPr="00626EC1" w:rsidRDefault="00626EC1" w:rsidP="00626EC1">
      <w:pPr>
        <w:pStyle w:val="a4"/>
        <w:spacing w:after="0"/>
        <w:jc w:val="center"/>
        <w:rPr>
          <w:b/>
          <w:sz w:val="28"/>
          <w:szCs w:val="28"/>
        </w:rPr>
      </w:pPr>
      <w:r w:rsidRPr="00626EC1">
        <w:rPr>
          <w:b/>
          <w:bCs/>
          <w:sz w:val="28"/>
          <w:szCs w:val="28"/>
        </w:rPr>
        <w:t>и организаций</w:t>
      </w:r>
      <w:r w:rsidR="000E2BA2" w:rsidRPr="00626EC1">
        <w:rPr>
          <w:b/>
          <w:sz w:val="28"/>
          <w:szCs w:val="28"/>
        </w:rPr>
        <w:t>, поступивших в Управление</w:t>
      </w:r>
    </w:p>
    <w:p w:rsidR="00A031A6" w:rsidRPr="00626EC1" w:rsidRDefault="00626EC1" w:rsidP="00626EC1">
      <w:pPr>
        <w:pStyle w:val="a4"/>
        <w:spacing w:after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1E4C1B">
        <w:rPr>
          <w:b/>
          <w:bCs/>
          <w:sz w:val="28"/>
          <w:szCs w:val="28"/>
        </w:rPr>
        <w:t>феврал</w:t>
      </w:r>
      <w:r w:rsidR="005F0EC7">
        <w:rPr>
          <w:b/>
          <w:bCs/>
          <w:sz w:val="28"/>
          <w:szCs w:val="28"/>
        </w:rPr>
        <w:t>е</w:t>
      </w:r>
      <w:r w:rsidR="004A760D">
        <w:rPr>
          <w:b/>
          <w:bCs/>
          <w:sz w:val="28"/>
          <w:szCs w:val="28"/>
        </w:rPr>
        <w:t xml:space="preserve"> </w:t>
      </w:r>
      <w:r w:rsidR="006207FA">
        <w:rPr>
          <w:rStyle w:val="a3"/>
          <w:sz w:val="28"/>
          <w:szCs w:val="28"/>
        </w:rPr>
        <w:t>2021</w:t>
      </w:r>
      <w:r w:rsidRPr="00626EC1">
        <w:rPr>
          <w:rStyle w:val="a3"/>
          <w:sz w:val="28"/>
          <w:szCs w:val="28"/>
        </w:rPr>
        <w:t xml:space="preserve"> года</w:t>
      </w:r>
      <w:r w:rsidRPr="00964356">
        <w:rPr>
          <w:noProof/>
          <w:color w:val="FF0000"/>
          <w:sz w:val="28"/>
          <w:szCs w:val="28"/>
        </w:rPr>
        <w:t xml:space="preserve"> </w:t>
      </w:r>
      <w:r w:rsidR="00A031A6" w:rsidRPr="00964356">
        <w:rPr>
          <w:noProof/>
          <w:color w:val="FF0000"/>
          <w:sz w:val="28"/>
          <w:szCs w:val="28"/>
        </w:rPr>
        <w:drawing>
          <wp:inline distT="0" distB="0" distL="0" distR="0">
            <wp:extent cx="6120130" cy="2609358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1A6" w:rsidRPr="00626EC1" w:rsidRDefault="00A031A6" w:rsidP="00A031A6">
      <w:pPr>
        <w:pStyle w:val="a4"/>
        <w:spacing w:after="0"/>
        <w:jc w:val="both"/>
        <w:rPr>
          <w:color w:val="000000" w:themeColor="text1"/>
          <w:sz w:val="28"/>
          <w:szCs w:val="28"/>
        </w:rPr>
      </w:pPr>
    </w:p>
    <w:p w:rsidR="00700FD2" w:rsidRPr="005520DD" w:rsidRDefault="00700FD2" w:rsidP="00FF648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520DD">
        <w:rPr>
          <w:color w:val="000000" w:themeColor="text1"/>
          <w:sz w:val="28"/>
          <w:szCs w:val="28"/>
        </w:rPr>
        <w:t xml:space="preserve">В </w:t>
      </w:r>
      <w:r w:rsidR="00D42C48" w:rsidRPr="005520DD">
        <w:rPr>
          <w:color w:val="000000" w:themeColor="text1"/>
          <w:sz w:val="28"/>
          <w:szCs w:val="28"/>
        </w:rPr>
        <w:t>Управлении</w:t>
      </w:r>
      <w:r w:rsidRPr="005520DD">
        <w:rPr>
          <w:color w:val="000000" w:themeColor="text1"/>
          <w:sz w:val="28"/>
          <w:szCs w:val="28"/>
        </w:rPr>
        <w:t xml:space="preserve">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</w:t>
      </w:r>
      <w:r w:rsidR="00FF6481" w:rsidRPr="005520DD">
        <w:rPr>
          <w:color w:val="000000" w:themeColor="text1"/>
          <w:sz w:val="28"/>
          <w:szCs w:val="28"/>
        </w:rPr>
        <w:t>Управления</w:t>
      </w:r>
      <w:r w:rsidRPr="005520DD">
        <w:rPr>
          <w:color w:val="000000" w:themeColor="text1"/>
          <w:sz w:val="28"/>
          <w:szCs w:val="28"/>
        </w:rPr>
        <w:t xml:space="preserve"> указывается на необходимость выпо</w:t>
      </w:r>
      <w:r w:rsidR="00FF6481" w:rsidRPr="005520DD">
        <w:rPr>
          <w:color w:val="000000" w:themeColor="text1"/>
          <w:sz w:val="28"/>
          <w:szCs w:val="28"/>
        </w:rPr>
        <w:t>лнения норм Федерального закона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от 02.05.2006 № 59-ФЗ «О порядке рассмотрения обращений граждан Российской Федерации», а также на о</w:t>
      </w:r>
      <w:r w:rsidR="00FF6481" w:rsidRPr="005520DD">
        <w:rPr>
          <w:color w:val="000000" w:themeColor="text1"/>
          <w:sz w:val="28"/>
          <w:szCs w:val="28"/>
        </w:rPr>
        <w:t xml:space="preserve">беспечение надлежащего </w:t>
      </w:r>
      <w:proofErr w:type="gramStart"/>
      <w:r w:rsidR="00FF6481" w:rsidRPr="005520DD">
        <w:rPr>
          <w:color w:val="000000" w:themeColor="text1"/>
          <w:sz w:val="28"/>
          <w:szCs w:val="28"/>
        </w:rPr>
        <w:t>контроля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за</w:t>
      </w:r>
      <w:proofErr w:type="gramEnd"/>
      <w:r w:rsidRPr="005520DD">
        <w:rPr>
          <w:color w:val="000000" w:themeColor="text1"/>
          <w:sz w:val="28"/>
          <w:szCs w:val="28"/>
        </w:rPr>
        <w:t xml:space="preserve"> соблюдением сроков рассмотрен</w:t>
      </w:r>
      <w:r w:rsidR="00FF6481" w:rsidRPr="005520DD">
        <w:rPr>
          <w:color w:val="000000" w:themeColor="text1"/>
          <w:sz w:val="28"/>
          <w:szCs w:val="28"/>
        </w:rPr>
        <w:t>ия обращений граждан, выявление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и устранение причин, из-за которых могут быть нарушены конституционные права граждан.</w:t>
      </w:r>
    </w:p>
    <w:p w:rsidR="00FF6481" w:rsidRDefault="00FF6481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7B7E62" w:rsidRPr="002A4D8E" w:rsidRDefault="007B7E62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476624" w:rsidRDefault="00476624"/>
    <w:sectPr w:rsidR="00476624" w:rsidSect="00B8606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42" w:rsidRDefault="00C94C42" w:rsidP="002A4D8E">
      <w:pPr>
        <w:spacing w:after="0" w:line="240" w:lineRule="auto"/>
      </w:pPr>
      <w:r>
        <w:separator/>
      </w:r>
    </w:p>
  </w:endnote>
  <w:endnote w:type="continuationSeparator" w:id="0">
    <w:p w:rsidR="00C94C42" w:rsidRDefault="00C94C42" w:rsidP="002A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42" w:rsidRDefault="00C94C42" w:rsidP="002A4D8E">
      <w:pPr>
        <w:spacing w:after="0" w:line="240" w:lineRule="auto"/>
      </w:pPr>
      <w:r>
        <w:separator/>
      </w:r>
    </w:p>
  </w:footnote>
  <w:footnote w:type="continuationSeparator" w:id="0">
    <w:p w:rsidR="00C94C42" w:rsidRDefault="00C94C42" w:rsidP="002A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594"/>
      <w:docPartObj>
        <w:docPartGallery w:val="Page Numbers (Top of Page)"/>
        <w:docPartUnique/>
      </w:docPartObj>
    </w:sdtPr>
    <w:sdtContent>
      <w:p w:rsidR="002A4D8E" w:rsidRDefault="00400158">
        <w:pPr>
          <w:pStyle w:val="a5"/>
          <w:jc w:val="center"/>
        </w:pPr>
        <w:fldSimple w:instr=" PAGE   \* MERGEFORMAT ">
          <w:r w:rsidR="00D362AD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D2"/>
    <w:rsid w:val="0000073E"/>
    <w:rsid w:val="0000185A"/>
    <w:rsid w:val="0000198B"/>
    <w:rsid w:val="00005623"/>
    <w:rsid w:val="00007852"/>
    <w:rsid w:val="00013D0E"/>
    <w:rsid w:val="00017247"/>
    <w:rsid w:val="000219A3"/>
    <w:rsid w:val="000265EE"/>
    <w:rsid w:val="00026E28"/>
    <w:rsid w:val="00027752"/>
    <w:rsid w:val="00027783"/>
    <w:rsid w:val="00035BF4"/>
    <w:rsid w:val="00045A07"/>
    <w:rsid w:val="0004660C"/>
    <w:rsid w:val="0004779E"/>
    <w:rsid w:val="00050C86"/>
    <w:rsid w:val="000512A2"/>
    <w:rsid w:val="00051B35"/>
    <w:rsid w:val="000616BC"/>
    <w:rsid w:val="000628CB"/>
    <w:rsid w:val="00065960"/>
    <w:rsid w:val="00073AEC"/>
    <w:rsid w:val="00073C61"/>
    <w:rsid w:val="00074CE8"/>
    <w:rsid w:val="000757F9"/>
    <w:rsid w:val="0007794F"/>
    <w:rsid w:val="000869D4"/>
    <w:rsid w:val="000902F7"/>
    <w:rsid w:val="000909A3"/>
    <w:rsid w:val="00090B98"/>
    <w:rsid w:val="00096CD9"/>
    <w:rsid w:val="0009728E"/>
    <w:rsid w:val="00097784"/>
    <w:rsid w:val="000A4963"/>
    <w:rsid w:val="000A6EE5"/>
    <w:rsid w:val="000B2394"/>
    <w:rsid w:val="000B3579"/>
    <w:rsid w:val="000B4794"/>
    <w:rsid w:val="000C39DB"/>
    <w:rsid w:val="000D2652"/>
    <w:rsid w:val="000D543F"/>
    <w:rsid w:val="000E2BA2"/>
    <w:rsid w:val="000E3A3F"/>
    <w:rsid w:val="000F0E04"/>
    <w:rsid w:val="000F3E2D"/>
    <w:rsid w:val="000F503C"/>
    <w:rsid w:val="000F533C"/>
    <w:rsid w:val="0010020A"/>
    <w:rsid w:val="00102621"/>
    <w:rsid w:val="001031FE"/>
    <w:rsid w:val="00107DD1"/>
    <w:rsid w:val="001146F7"/>
    <w:rsid w:val="00120885"/>
    <w:rsid w:val="00122C35"/>
    <w:rsid w:val="00124F95"/>
    <w:rsid w:val="001274D4"/>
    <w:rsid w:val="00133CF5"/>
    <w:rsid w:val="00135E49"/>
    <w:rsid w:val="00141A27"/>
    <w:rsid w:val="0014586B"/>
    <w:rsid w:val="00146C1A"/>
    <w:rsid w:val="00146D11"/>
    <w:rsid w:val="00147083"/>
    <w:rsid w:val="001513CB"/>
    <w:rsid w:val="00152602"/>
    <w:rsid w:val="001541BE"/>
    <w:rsid w:val="0016109B"/>
    <w:rsid w:val="00161E67"/>
    <w:rsid w:val="00165D73"/>
    <w:rsid w:val="00173C8F"/>
    <w:rsid w:val="00180714"/>
    <w:rsid w:val="0018090C"/>
    <w:rsid w:val="00186762"/>
    <w:rsid w:val="001A0DC1"/>
    <w:rsid w:val="001A7E9F"/>
    <w:rsid w:val="001B32FB"/>
    <w:rsid w:val="001B60EE"/>
    <w:rsid w:val="001D106F"/>
    <w:rsid w:val="001D1BCB"/>
    <w:rsid w:val="001D23A3"/>
    <w:rsid w:val="001D70C0"/>
    <w:rsid w:val="001D73B2"/>
    <w:rsid w:val="001E4C1B"/>
    <w:rsid w:val="001E50B2"/>
    <w:rsid w:val="001E68C9"/>
    <w:rsid w:val="001F3110"/>
    <w:rsid w:val="001F38F9"/>
    <w:rsid w:val="001F4681"/>
    <w:rsid w:val="001F74FD"/>
    <w:rsid w:val="00203A7C"/>
    <w:rsid w:val="0020422D"/>
    <w:rsid w:val="002131C2"/>
    <w:rsid w:val="00214DEA"/>
    <w:rsid w:val="0021661F"/>
    <w:rsid w:val="00221097"/>
    <w:rsid w:val="00234046"/>
    <w:rsid w:val="00234AC1"/>
    <w:rsid w:val="00241A6A"/>
    <w:rsid w:val="00250971"/>
    <w:rsid w:val="002510C7"/>
    <w:rsid w:val="0025327F"/>
    <w:rsid w:val="00254E4F"/>
    <w:rsid w:val="00261FBE"/>
    <w:rsid w:val="00266DC4"/>
    <w:rsid w:val="002758AD"/>
    <w:rsid w:val="002767A1"/>
    <w:rsid w:val="00276B8A"/>
    <w:rsid w:val="002A4D8E"/>
    <w:rsid w:val="002A6436"/>
    <w:rsid w:val="002B2AC4"/>
    <w:rsid w:val="002B4981"/>
    <w:rsid w:val="002B6238"/>
    <w:rsid w:val="002B623D"/>
    <w:rsid w:val="002C12D0"/>
    <w:rsid w:val="002C6A4C"/>
    <w:rsid w:val="002D26B3"/>
    <w:rsid w:val="002E096E"/>
    <w:rsid w:val="002E60B9"/>
    <w:rsid w:val="002E61BC"/>
    <w:rsid w:val="002E7065"/>
    <w:rsid w:val="002F4319"/>
    <w:rsid w:val="00303766"/>
    <w:rsid w:val="00307574"/>
    <w:rsid w:val="00310241"/>
    <w:rsid w:val="00313050"/>
    <w:rsid w:val="003204EF"/>
    <w:rsid w:val="00321DC6"/>
    <w:rsid w:val="00336060"/>
    <w:rsid w:val="003424F4"/>
    <w:rsid w:val="00342F0D"/>
    <w:rsid w:val="0034328C"/>
    <w:rsid w:val="00346014"/>
    <w:rsid w:val="00356D76"/>
    <w:rsid w:val="00366C08"/>
    <w:rsid w:val="00371B15"/>
    <w:rsid w:val="00377B68"/>
    <w:rsid w:val="00377EAA"/>
    <w:rsid w:val="0038483D"/>
    <w:rsid w:val="0039185C"/>
    <w:rsid w:val="003A0252"/>
    <w:rsid w:val="003A0389"/>
    <w:rsid w:val="003A16F1"/>
    <w:rsid w:val="003B2229"/>
    <w:rsid w:val="003B5505"/>
    <w:rsid w:val="003B5573"/>
    <w:rsid w:val="003B59F9"/>
    <w:rsid w:val="003B5E4A"/>
    <w:rsid w:val="003C3BA0"/>
    <w:rsid w:val="003C7E90"/>
    <w:rsid w:val="003D25E7"/>
    <w:rsid w:val="003D599F"/>
    <w:rsid w:val="003D6A9B"/>
    <w:rsid w:val="003F488E"/>
    <w:rsid w:val="003F5DE7"/>
    <w:rsid w:val="003F6C5C"/>
    <w:rsid w:val="00400158"/>
    <w:rsid w:val="00403AF4"/>
    <w:rsid w:val="00405A39"/>
    <w:rsid w:val="00414518"/>
    <w:rsid w:val="004154EB"/>
    <w:rsid w:val="0041618B"/>
    <w:rsid w:val="004237C2"/>
    <w:rsid w:val="0043182C"/>
    <w:rsid w:val="00432398"/>
    <w:rsid w:val="00432A6D"/>
    <w:rsid w:val="00440C39"/>
    <w:rsid w:val="004572F4"/>
    <w:rsid w:val="00463506"/>
    <w:rsid w:val="0046565D"/>
    <w:rsid w:val="00476624"/>
    <w:rsid w:val="00480C36"/>
    <w:rsid w:val="0048231C"/>
    <w:rsid w:val="00484DE1"/>
    <w:rsid w:val="00490463"/>
    <w:rsid w:val="00494998"/>
    <w:rsid w:val="0049552C"/>
    <w:rsid w:val="004A073D"/>
    <w:rsid w:val="004A52EA"/>
    <w:rsid w:val="004A760D"/>
    <w:rsid w:val="004B0275"/>
    <w:rsid w:val="004B5488"/>
    <w:rsid w:val="004C1AC8"/>
    <w:rsid w:val="004D1C46"/>
    <w:rsid w:val="004D3CF9"/>
    <w:rsid w:val="004E3F00"/>
    <w:rsid w:val="004F0194"/>
    <w:rsid w:val="004F0F63"/>
    <w:rsid w:val="004F31F8"/>
    <w:rsid w:val="004F3352"/>
    <w:rsid w:val="004F4803"/>
    <w:rsid w:val="005012D8"/>
    <w:rsid w:val="00501AE3"/>
    <w:rsid w:val="00512471"/>
    <w:rsid w:val="00513D23"/>
    <w:rsid w:val="0051737B"/>
    <w:rsid w:val="00525572"/>
    <w:rsid w:val="00531535"/>
    <w:rsid w:val="00537C2B"/>
    <w:rsid w:val="005520DD"/>
    <w:rsid w:val="005526B0"/>
    <w:rsid w:val="005611AF"/>
    <w:rsid w:val="0056133E"/>
    <w:rsid w:val="00561E3D"/>
    <w:rsid w:val="00564A15"/>
    <w:rsid w:val="00564DAA"/>
    <w:rsid w:val="0057104F"/>
    <w:rsid w:val="0057234B"/>
    <w:rsid w:val="0057315E"/>
    <w:rsid w:val="00583597"/>
    <w:rsid w:val="00592B59"/>
    <w:rsid w:val="005A2B7C"/>
    <w:rsid w:val="005A2DCC"/>
    <w:rsid w:val="005A6C09"/>
    <w:rsid w:val="005B22A9"/>
    <w:rsid w:val="005C04A0"/>
    <w:rsid w:val="005C08B9"/>
    <w:rsid w:val="005D4179"/>
    <w:rsid w:val="005D4F9A"/>
    <w:rsid w:val="005E16F7"/>
    <w:rsid w:val="005F0EC7"/>
    <w:rsid w:val="006000B9"/>
    <w:rsid w:val="006059CD"/>
    <w:rsid w:val="006074CA"/>
    <w:rsid w:val="00616358"/>
    <w:rsid w:val="006207FA"/>
    <w:rsid w:val="00623E20"/>
    <w:rsid w:val="00626EC1"/>
    <w:rsid w:val="0063155B"/>
    <w:rsid w:val="00631E19"/>
    <w:rsid w:val="00634E2F"/>
    <w:rsid w:val="00635E1B"/>
    <w:rsid w:val="006360EB"/>
    <w:rsid w:val="00636E5A"/>
    <w:rsid w:val="00652F71"/>
    <w:rsid w:val="006550C4"/>
    <w:rsid w:val="0066036E"/>
    <w:rsid w:val="00673ACB"/>
    <w:rsid w:val="00673E5D"/>
    <w:rsid w:val="00676483"/>
    <w:rsid w:val="00681382"/>
    <w:rsid w:val="006840BD"/>
    <w:rsid w:val="00686F9F"/>
    <w:rsid w:val="006921AA"/>
    <w:rsid w:val="006A5FFD"/>
    <w:rsid w:val="006A72D8"/>
    <w:rsid w:val="006C63C4"/>
    <w:rsid w:val="006D4ADF"/>
    <w:rsid w:val="006E0CF1"/>
    <w:rsid w:val="006E320A"/>
    <w:rsid w:val="006E74ED"/>
    <w:rsid w:val="006E7C96"/>
    <w:rsid w:val="006F0F01"/>
    <w:rsid w:val="006F309D"/>
    <w:rsid w:val="006F7BD6"/>
    <w:rsid w:val="00700FD2"/>
    <w:rsid w:val="0071266B"/>
    <w:rsid w:val="00720123"/>
    <w:rsid w:val="007242CE"/>
    <w:rsid w:val="00724BD8"/>
    <w:rsid w:val="007338A9"/>
    <w:rsid w:val="00744860"/>
    <w:rsid w:val="00745C3B"/>
    <w:rsid w:val="00747E75"/>
    <w:rsid w:val="007527D1"/>
    <w:rsid w:val="0076228D"/>
    <w:rsid w:val="007648D9"/>
    <w:rsid w:val="007710AE"/>
    <w:rsid w:val="00776F10"/>
    <w:rsid w:val="00777615"/>
    <w:rsid w:val="007814BA"/>
    <w:rsid w:val="00787011"/>
    <w:rsid w:val="007912EB"/>
    <w:rsid w:val="007979FD"/>
    <w:rsid w:val="007A084B"/>
    <w:rsid w:val="007A2CDF"/>
    <w:rsid w:val="007A7A65"/>
    <w:rsid w:val="007B04C9"/>
    <w:rsid w:val="007B306A"/>
    <w:rsid w:val="007B4907"/>
    <w:rsid w:val="007B71BD"/>
    <w:rsid w:val="007B7E62"/>
    <w:rsid w:val="007C30FC"/>
    <w:rsid w:val="007C5EF1"/>
    <w:rsid w:val="007D4164"/>
    <w:rsid w:val="007D60AC"/>
    <w:rsid w:val="007E47D3"/>
    <w:rsid w:val="007E4F2F"/>
    <w:rsid w:val="007E5D12"/>
    <w:rsid w:val="007E6427"/>
    <w:rsid w:val="007E6821"/>
    <w:rsid w:val="007F0359"/>
    <w:rsid w:val="00801EE1"/>
    <w:rsid w:val="00805830"/>
    <w:rsid w:val="00806CE5"/>
    <w:rsid w:val="00807040"/>
    <w:rsid w:val="00807586"/>
    <w:rsid w:val="008132C7"/>
    <w:rsid w:val="00815C4E"/>
    <w:rsid w:val="00817072"/>
    <w:rsid w:val="008254CA"/>
    <w:rsid w:val="00850906"/>
    <w:rsid w:val="00850A0B"/>
    <w:rsid w:val="008566CB"/>
    <w:rsid w:val="0086144F"/>
    <w:rsid w:val="00865572"/>
    <w:rsid w:val="00865DE6"/>
    <w:rsid w:val="00871180"/>
    <w:rsid w:val="008711A4"/>
    <w:rsid w:val="00871326"/>
    <w:rsid w:val="0088155D"/>
    <w:rsid w:val="00887A7D"/>
    <w:rsid w:val="008952A3"/>
    <w:rsid w:val="00896FB3"/>
    <w:rsid w:val="008A0639"/>
    <w:rsid w:val="008A5187"/>
    <w:rsid w:val="008A737B"/>
    <w:rsid w:val="008B0BCE"/>
    <w:rsid w:val="008D23A6"/>
    <w:rsid w:val="008D53E7"/>
    <w:rsid w:val="008D5CF7"/>
    <w:rsid w:val="008E52F0"/>
    <w:rsid w:val="008E7216"/>
    <w:rsid w:val="008F11AA"/>
    <w:rsid w:val="008F3C3F"/>
    <w:rsid w:val="008F3E5A"/>
    <w:rsid w:val="008F6527"/>
    <w:rsid w:val="00900FD8"/>
    <w:rsid w:val="0090571A"/>
    <w:rsid w:val="009077CD"/>
    <w:rsid w:val="009112DB"/>
    <w:rsid w:val="00912D1A"/>
    <w:rsid w:val="009254DD"/>
    <w:rsid w:val="00940340"/>
    <w:rsid w:val="0095782F"/>
    <w:rsid w:val="00961CB4"/>
    <w:rsid w:val="00963711"/>
    <w:rsid w:val="00964356"/>
    <w:rsid w:val="00966BA1"/>
    <w:rsid w:val="009717C9"/>
    <w:rsid w:val="009747F8"/>
    <w:rsid w:val="00974F91"/>
    <w:rsid w:val="009754FE"/>
    <w:rsid w:val="00976248"/>
    <w:rsid w:val="0098566C"/>
    <w:rsid w:val="00992B64"/>
    <w:rsid w:val="00993C68"/>
    <w:rsid w:val="0099722A"/>
    <w:rsid w:val="00997E32"/>
    <w:rsid w:val="009A476A"/>
    <w:rsid w:val="009B1D9C"/>
    <w:rsid w:val="009B25F9"/>
    <w:rsid w:val="009B39A7"/>
    <w:rsid w:val="009C389B"/>
    <w:rsid w:val="009D14EE"/>
    <w:rsid w:val="009D6089"/>
    <w:rsid w:val="009E1D35"/>
    <w:rsid w:val="009F66B2"/>
    <w:rsid w:val="00A02B8F"/>
    <w:rsid w:val="00A031A6"/>
    <w:rsid w:val="00A065D3"/>
    <w:rsid w:val="00A101EE"/>
    <w:rsid w:val="00A13FA1"/>
    <w:rsid w:val="00A16661"/>
    <w:rsid w:val="00A215C8"/>
    <w:rsid w:val="00A22AE5"/>
    <w:rsid w:val="00A22E57"/>
    <w:rsid w:val="00A23461"/>
    <w:rsid w:val="00A31DA8"/>
    <w:rsid w:val="00A4123A"/>
    <w:rsid w:val="00A43B34"/>
    <w:rsid w:val="00A5015F"/>
    <w:rsid w:val="00A56243"/>
    <w:rsid w:val="00A66548"/>
    <w:rsid w:val="00A8365F"/>
    <w:rsid w:val="00A83C57"/>
    <w:rsid w:val="00A83C65"/>
    <w:rsid w:val="00A8404F"/>
    <w:rsid w:val="00A85345"/>
    <w:rsid w:val="00A85FDB"/>
    <w:rsid w:val="00A86518"/>
    <w:rsid w:val="00A926BA"/>
    <w:rsid w:val="00AA15B2"/>
    <w:rsid w:val="00AA1D45"/>
    <w:rsid w:val="00AA4638"/>
    <w:rsid w:val="00AA6460"/>
    <w:rsid w:val="00AB1923"/>
    <w:rsid w:val="00AB2000"/>
    <w:rsid w:val="00AC5FDE"/>
    <w:rsid w:val="00AC703A"/>
    <w:rsid w:val="00AC7B10"/>
    <w:rsid w:val="00AD07A3"/>
    <w:rsid w:val="00AD25A0"/>
    <w:rsid w:val="00AD4348"/>
    <w:rsid w:val="00AE6D81"/>
    <w:rsid w:val="00AF0A97"/>
    <w:rsid w:val="00AF5D11"/>
    <w:rsid w:val="00B01EFB"/>
    <w:rsid w:val="00B1174B"/>
    <w:rsid w:val="00B16508"/>
    <w:rsid w:val="00B270C1"/>
    <w:rsid w:val="00B402B5"/>
    <w:rsid w:val="00B46E00"/>
    <w:rsid w:val="00B471E8"/>
    <w:rsid w:val="00B47BB1"/>
    <w:rsid w:val="00B5525C"/>
    <w:rsid w:val="00B66034"/>
    <w:rsid w:val="00B661A5"/>
    <w:rsid w:val="00B6634B"/>
    <w:rsid w:val="00B70D31"/>
    <w:rsid w:val="00B71082"/>
    <w:rsid w:val="00B76B4A"/>
    <w:rsid w:val="00B8085E"/>
    <w:rsid w:val="00B86068"/>
    <w:rsid w:val="00B90BE7"/>
    <w:rsid w:val="00B911C0"/>
    <w:rsid w:val="00B95775"/>
    <w:rsid w:val="00BA720F"/>
    <w:rsid w:val="00BB6F2E"/>
    <w:rsid w:val="00BC16F3"/>
    <w:rsid w:val="00BC2F8F"/>
    <w:rsid w:val="00BC5EB4"/>
    <w:rsid w:val="00BD2572"/>
    <w:rsid w:val="00BD3695"/>
    <w:rsid w:val="00BD689E"/>
    <w:rsid w:val="00BF2DA6"/>
    <w:rsid w:val="00C00575"/>
    <w:rsid w:val="00C06F46"/>
    <w:rsid w:val="00C07D7F"/>
    <w:rsid w:val="00C11211"/>
    <w:rsid w:val="00C1680A"/>
    <w:rsid w:val="00C210FD"/>
    <w:rsid w:val="00C21201"/>
    <w:rsid w:val="00C21399"/>
    <w:rsid w:val="00C22B71"/>
    <w:rsid w:val="00C45A0A"/>
    <w:rsid w:val="00C50446"/>
    <w:rsid w:val="00C54904"/>
    <w:rsid w:val="00C678A9"/>
    <w:rsid w:val="00C71C42"/>
    <w:rsid w:val="00C8093D"/>
    <w:rsid w:val="00C83E50"/>
    <w:rsid w:val="00C93A16"/>
    <w:rsid w:val="00C94C42"/>
    <w:rsid w:val="00CA41EE"/>
    <w:rsid w:val="00CA51B0"/>
    <w:rsid w:val="00CB0D0F"/>
    <w:rsid w:val="00CC4A15"/>
    <w:rsid w:val="00CD095A"/>
    <w:rsid w:val="00CD1AC2"/>
    <w:rsid w:val="00CD649B"/>
    <w:rsid w:val="00CD71B2"/>
    <w:rsid w:val="00CE3A55"/>
    <w:rsid w:val="00D0545E"/>
    <w:rsid w:val="00D122CC"/>
    <w:rsid w:val="00D13230"/>
    <w:rsid w:val="00D153CF"/>
    <w:rsid w:val="00D26F7C"/>
    <w:rsid w:val="00D31B70"/>
    <w:rsid w:val="00D32344"/>
    <w:rsid w:val="00D326E3"/>
    <w:rsid w:val="00D362AD"/>
    <w:rsid w:val="00D42C48"/>
    <w:rsid w:val="00D66268"/>
    <w:rsid w:val="00D704FB"/>
    <w:rsid w:val="00D921A8"/>
    <w:rsid w:val="00D9377B"/>
    <w:rsid w:val="00D95FBB"/>
    <w:rsid w:val="00D974C4"/>
    <w:rsid w:val="00DA2760"/>
    <w:rsid w:val="00DA4CC7"/>
    <w:rsid w:val="00DB2D13"/>
    <w:rsid w:val="00DB54E2"/>
    <w:rsid w:val="00DB5598"/>
    <w:rsid w:val="00DC3E92"/>
    <w:rsid w:val="00DC413C"/>
    <w:rsid w:val="00DC6150"/>
    <w:rsid w:val="00DC7144"/>
    <w:rsid w:val="00DD76B4"/>
    <w:rsid w:val="00DE08DE"/>
    <w:rsid w:val="00DE24FE"/>
    <w:rsid w:val="00DE3C2B"/>
    <w:rsid w:val="00DE5F09"/>
    <w:rsid w:val="00DE76CD"/>
    <w:rsid w:val="00E00702"/>
    <w:rsid w:val="00E14F29"/>
    <w:rsid w:val="00E17BE4"/>
    <w:rsid w:val="00E23085"/>
    <w:rsid w:val="00E26774"/>
    <w:rsid w:val="00E36A15"/>
    <w:rsid w:val="00E4206A"/>
    <w:rsid w:val="00E5664A"/>
    <w:rsid w:val="00E566B6"/>
    <w:rsid w:val="00E619B9"/>
    <w:rsid w:val="00E6391D"/>
    <w:rsid w:val="00E66AAF"/>
    <w:rsid w:val="00E806CD"/>
    <w:rsid w:val="00E973CB"/>
    <w:rsid w:val="00EA4EB2"/>
    <w:rsid w:val="00EA6D09"/>
    <w:rsid w:val="00EB000B"/>
    <w:rsid w:val="00EB120F"/>
    <w:rsid w:val="00EB549C"/>
    <w:rsid w:val="00EC7C70"/>
    <w:rsid w:val="00ED0F49"/>
    <w:rsid w:val="00ED5C1A"/>
    <w:rsid w:val="00EF0821"/>
    <w:rsid w:val="00EF3726"/>
    <w:rsid w:val="00EF4810"/>
    <w:rsid w:val="00F11492"/>
    <w:rsid w:val="00F15571"/>
    <w:rsid w:val="00F21B04"/>
    <w:rsid w:val="00F37C8D"/>
    <w:rsid w:val="00F45D5A"/>
    <w:rsid w:val="00F45D5B"/>
    <w:rsid w:val="00F47C73"/>
    <w:rsid w:val="00F71726"/>
    <w:rsid w:val="00F71E65"/>
    <w:rsid w:val="00F73CA0"/>
    <w:rsid w:val="00F7426C"/>
    <w:rsid w:val="00F76C40"/>
    <w:rsid w:val="00F801D7"/>
    <w:rsid w:val="00F96321"/>
    <w:rsid w:val="00FA0C96"/>
    <w:rsid w:val="00FA230B"/>
    <w:rsid w:val="00FA62AE"/>
    <w:rsid w:val="00FC076B"/>
    <w:rsid w:val="00FC4B24"/>
    <w:rsid w:val="00FC64F0"/>
    <w:rsid w:val="00FD1444"/>
    <w:rsid w:val="00FD17A6"/>
    <w:rsid w:val="00FE5F15"/>
    <w:rsid w:val="00FE5F98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D2"/>
    <w:rPr>
      <w:b/>
      <w:bCs/>
    </w:rPr>
  </w:style>
  <w:style w:type="paragraph" w:styleId="a4">
    <w:name w:val="Normal (Web)"/>
    <w:basedOn w:val="a"/>
    <w:uiPriority w:val="99"/>
    <w:unhideWhenUsed/>
    <w:rsid w:val="00700FD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D8E"/>
  </w:style>
  <w:style w:type="paragraph" w:styleId="a7">
    <w:name w:val="footer"/>
    <w:basedOn w:val="a"/>
    <w:link w:val="a8"/>
    <w:uiPriority w:val="99"/>
    <w:semiHidden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D8E"/>
  </w:style>
  <w:style w:type="paragraph" w:styleId="a9">
    <w:name w:val="Balloon Text"/>
    <w:basedOn w:val="a"/>
    <w:link w:val="aa"/>
    <w:uiPriority w:val="99"/>
    <w:semiHidden/>
    <w:unhideWhenUsed/>
    <w:rsid w:val="00B6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747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1968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</a:t>
            </a:r>
          </a:p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 организаций,</a:t>
            </a:r>
          </a:p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поступивших в Управление</a:t>
            </a:r>
            <a:endParaRPr lang="ru-RU" sz="1400" baseline="0">
              <a:latin typeface="Times New Roman" pitchFamily="18" charset="0"/>
              <a:cs typeface="Times New Roman" pitchFamily="18" charset="0"/>
            </a:endParaRPr>
          </a:p>
          <a:p>
            <a:pPr algn="ctr"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в феврале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741956320880451"/>
          <c:y val="6.04343720491031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79646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chemeClr val="accent6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numFmt formatCode="General" sourceLinked="0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numFmt formatCode="General" sourceLinked="0"/>
            <c:spPr>
              <a:solidFill>
                <a:schemeClr val="accent1"/>
              </a:solidFill>
            </c:spPr>
            <c:txPr>
              <a:bodyPr/>
              <a:lstStyle/>
              <a:p>
                <a:pPr>
                  <a:defRPr sz="1400" b="1" i="0" baseline="0">
                    <a:solidFill>
                      <a:sysClr val="windowText" lastClr="00000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Февраль 2019 года</c:v>
                </c:pt>
                <c:pt idx="1">
                  <c:v>Февраль 2020 года</c:v>
                </c:pt>
                <c:pt idx="2">
                  <c:v>Февраль 2021 года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55</c:v>
                </c:pt>
                <c:pt idx="1">
                  <c:v>252</c:v>
                </c:pt>
                <c:pt idx="2">
                  <c:v>395</c:v>
                </c:pt>
              </c:numCache>
            </c:numRef>
          </c:val>
        </c:ser>
        <c:axId val="79004032"/>
        <c:axId val="79006336"/>
      </c:barChart>
      <c:catAx>
        <c:axId val="79004032"/>
        <c:scaling>
          <c:orientation val="minMax"/>
        </c:scaling>
        <c:axPos val="b"/>
        <c:tickLblPos val="nextTo"/>
        <c:crossAx val="79006336"/>
        <c:crosses val="autoZero"/>
        <c:auto val="1"/>
        <c:lblAlgn val="ctr"/>
        <c:lblOffset val="100"/>
      </c:catAx>
      <c:valAx>
        <c:axId val="79006336"/>
        <c:scaling>
          <c:orientation val="minMax"/>
        </c:scaling>
        <c:axPos val="l"/>
        <c:majorGridlines/>
        <c:numFmt formatCode="0" sourceLinked="1"/>
        <c:tickLblPos val="nextTo"/>
        <c:crossAx val="79004032"/>
        <c:crosses val="autoZero"/>
        <c:crossBetween val="between"/>
      </c:valAx>
      <c:spPr>
        <a:noFill/>
        <a:ln>
          <a:solidFill>
            <a:srgbClr val="4F81BD"/>
          </a:solidFill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Основные вопросы обращений граждан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 организации, поступивших в Управление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феврале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spPr>
        <a:ln>
          <a:noFill/>
        </a:ln>
      </c:spPr>
    </c:title>
    <c:plotArea>
      <c:layout>
        <c:manualLayout>
          <c:layoutTarget val="inner"/>
          <c:xMode val="edge"/>
          <c:yMode val="edge"/>
          <c:x val="6.7120561033971723E-2"/>
          <c:y val="0.14371895820714839"/>
          <c:w val="0.93287943896602865"/>
          <c:h val="0.571024036196659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 и организации, поступивших в Управление за июнь 2018 года
</c:v>
                </c:pt>
              </c:strCache>
            </c:strRef>
          </c:tx>
          <c:spPr>
            <a:solidFill>
              <a:srgbClr val="FFC000">
                <a:alpha val="85000"/>
              </a:srgbClr>
            </a:solidFill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rgbClr val="4F81B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rgbClr val="9BBB59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spPr>
              <a:solidFill>
                <a:srgbClr val="C0504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spPr>
              <a:solidFill>
                <a:schemeClr val="accent6">
                  <a:lumMod val="7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spPr>
              <a:solidFill>
                <a:schemeClr val="bg2">
                  <a:lumMod val="2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4.2060988433228388E-3"/>
                  <c:y val="0.22037180263709638"/>
                </c:manualLayout>
              </c:layout>
              <c:dLblPos val="outEnd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Лист1!$A$2:$A$6</c:f>
              <c:strCache>
                <c:ptCount val="5"/>
                <c:pt idx="0">
                  <c:v>Обращения по вопросам в области ветеринарии</c:v>
                </c:pt>
                <c:pt idx="1">
                  <c:v>Обращения по фитосанитарным вопросам</c:v>
                </c:pt>
                <c:pt idx="2">
                  <c:v>Обращения
по вопросам в области земельного законодательства</c:v>
                </c:pt>
                <c:pt idx="3">
                  <c:v>Обращения по комплексным вопросам</c:v>
                </c:pt>
                <c:pt idx="4">
                  <c:v>Обращения по общим вопросам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182</c:v>
                </c:pt>
                <c:pt idx="1">
                  <c:v>15</c:v>
                </c:pt>
                <c:pt idx="2">
                  <c:v>197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>
              <a:noFill/>
            </a:ln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 по вопросам в области ветеринарии</c:v>
                </c:pt>
                <c:pt idx="1">
                  <c:v>Обращения по фитосанитарным вопросам</c:v>
                </c:pt>
                <c:pt idx="2">
                  <c:v>Обращения
по вопросам в области земельного законодательства</c:v>
                </c:pt>
                <c:pt idx="3">
                  <c:v>Обращения по комплексным вопросам</c:v>
                </c:pt>
                <c:pt idx="4">
                  <c:v>Обращения по общим вопросам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0.46075949367088626</c:v>
                </c:pt>
                <c:pt idx="1">
                  <c:v>3.7974683544303806E-2</c:v>
                </c:pt>
                <c:pt idx="2">
                  <c:v>0.49873417721518987</c:v>
                </c:pt>
                <c:pt idx="3">
                  <c:v>0</c:v>
                </c:pt>
                <c:pt idx="4">
                  <c:v>2.5316455696202528E-3</c:v>
                </c:pt>
              </c:numCache>
            </c:numRef>
          </c:val>
        </c:ser>
        <c:gapWidth val="100"/>
        <c:axId val="78912512"/>
        <c:axId val="78914304"/>
      </c:barChart>
      <c:catAx>
        <c:axId val="78912512"/>
        <c:scaling>
          <c:orientation val="minMax"/>
        </c:scaling>
        <c:axPos val="b"/>
        <c:tickLblPos val="nextTo"/>
        <c:crossAx val="78914304"/>
        <c:crosses val="autoZero"/>
        <c:auto val="1"/>
        <c:lblAlgn val="ctr"/>
        <c:lblOffset val="100"/>
      </c:catAx>
      <c:valAx>
        <c:axId val="78914304"/>
        <c:scaling>
          <c:orientation val="minMax"/>
        </c:scaling>
        <c:axPos val="l"/>
        <c:majorGridlines/>
        <c:numFmt formatCode="General" sourceLinked="0"/>
        <c:tickLblPos val="nextTo"/>
        <c:crossAx val="78912512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40283621426342E-2"/>
          <c:y val="2.9701558774227241E-2"/>
          <c:w val="0.91170173128990062"/>
          <c:h val="0.636749156355510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Статус обработки обращений</c:v>
                </c:pt>
              </c:strCache>
            </c:strRef>
          </c:tx>
          <c:spPr>
            <a:solidFill>
              <a:srgbClr val="FFC000"/>
            </a:solidFill>
          </c:spPr>
          <c:dPt>
            <c:idx val="1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2"/>
            <c:spPr>
              <a:solidFill>
                <a:srgbClr val="7030A0">
                  <a:alpha val="64000"/>
                </a:srgbClr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Lbl>
              <c:idx val="5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Лист1!$A$2:$A$7</c:f>
              <c:strCache>
                <c:ptCount val="6"/>
                <c:pt idx="0">
                  <c:v>Дан ответ по существу (разъяснено)</c:v>
                </c:pt>
                <c:pt idx="1">
                  <c:v>Дан ответ по существу (поддержано)</c:v>
                </c:pt>
                <c:pt idx="2">
                  <c:v>Дан ответ по существу (не поддержано)</c:v>
                </c:pt>
                <c:pt idx="3">
                  <c:v>Направлено по компетенции </c:v>
                </c:pt>
                <c:pt idx="4">
                  <c:v>Находятся на рассмотрении</c:v>
                </c:pt>
                <c:pt idx="5">
                  <c:v>Оставлено без ответа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</c:v>
                </c:pt>
                <c:pt idx="1">
                  <c:v>89</c:v>
                </c:pt>
                <c:pt idx="2">
                  <c:v>0</c:v>
                </c:pt>
                <c:pt idx="3">
                  <c:v>83</c:v>
                </c:pt>
                <c:pt idx="4">
                  <c:v>142</c:v>
                </c:pt>
                <c:pt idx="5">
                  <c:v>8</c:v>
                </c:pt>
              </c:numCache>
            </c:numRef>
          </c:val>
        </c:ser>
        <c:gapWidth val="100"/>
        <c:axId val="78084352"/>
        <c:axId val="78086144"/>
      </c:barChart>
      <c:catAx>
        <c:axId val="78084352"/>
        <c:scaling>
          <c:orientation val="minMax"/>
        </c:scaling>
        <c:axPos val="b"/>
        <c:tickLblPos val="nextTo"/>
        <c:crossAx val="78086144"/>
        <c:crosses val="autoZero"/>
        <c:auto val="1"/>
        <c:lblAlgn val="ctr"/>
        <c:lblOffset val="100"/>
      </c:catAx>
      <c:valAx>
        <c:axId val="78086144"/>
        <c:scaling>
          <c:orientation val="minMax"/>
        </c:scaling>
        <c:axPos val="l"/>
        <c:majorGridlines/>
        <c:numFmt formatCode="General" sourceLinked="1"/>
        <c:tickLblPos val="nextTo"/>
        <c:crossAx val="78084352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e.semenova</cp:lastModifiedBy>
  <cp:revision>9</cp:revision>
  <cp:lastPrinted>2021-02-01T07:34:00Z</cp:lastPrinted>
  <dcterms:created xsi:type="dcterms:W3CDTF">2021-02-26T11:47:00Z</dcterms:created>
  <dcterms:modified xsi:type="dcterms:W3CDTF">2021-03-01T06:34:00Z</dcterms:modified>
</cp:coreProperties>
</file>